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BBesG — Kürzung der Besoldung bei Gewährung einer Versorgung durch eine zwischenstaatliche oder überstaatliche Einrichtung</w:t>
      </w:r>
    </w:p>
    <w:p>
      <w:r>
        <w:rPr>
          <w:color w:val="555555"/>
          <w:sz w:val="18"/>
        </w:rPr>
        <w:t xml:space="preserve">Bundesbesoldungsgesetz</w:t>
      </w:r>
    </w:p>
    <w:p>
      <w:r>
        <w:rPr>
          <w:color w:val="555555"/>
          <w:sz w:val="18"/>
        </w:rPr>
        <w:t xml:space="preserve">Stand: 10.01.2020 (konsolidierte Textfassung, kein amtliches Inkrafttretensdatum)</w:t>
      </w:r>
    </w:p>
    <w:p>
      <w:r>
        <w:t xml:space="preserve">(1) Erhält ein Beamter, Richter oder Soldat aus der Verwendung im öffentlichen Dienst einer zwischenstaatlichen oder überstaatlichen Einrichtung eine Versorgung, werden seine Dienstbezüge gekürzt. Die Kürzung beträgt 1,79375 Prozent für jedes im zwischenstaatlichen oder überstaatlichen Dienst vollendete Jahr; ihm verbleiben jedoch mindestens 40 Prozent seiner Dienstbezüge. Erhält er als Invaliditätspension die Höchstversorgung aus seinem Amt bei der zwischenstaatlichen oder überstaatlichen Einrichtung, werden die Dienstbezüge um 60 Prozent gekürzt. Der Kürzungsbetrag darf die von der zwischenstaatlichen oder überstaatlichen Einrichtung gewährte Versorgung nicht übersteigen.</w:t>
      </w:r>
    </w:p>
    <w:p>
      <w:r>
        <w:t xml:space="preserve">(2) Als Zeit im zwischenstaatlichen oder überstaatlichen Dienst wird auch die Zeit gerechnet, in welcher der Beamte, Richter oder Soldat ohne Ausübung eines Amtes bei einer zwischenstaatlichen oder überstaatlichen Einrichtung einen Anspruch auf Vergütung oder sonstige Entschädigung hat und Ruhegehaltsansprüche erwirbt. Entsprechendes gilt für Zeiten nach dem Ausscheiden aus dem Dienst einer zwischenstaatlichen oder überstaatlichen Einrichtung, die dort bei der Berechnung des Ruhegehalts wie Dienstzeiten berücksichtigt werden.</w:t>
      </w:r>
    </w:p>
    <w:p>
      <w:r>
        <w:t xml:space="preserve">(3) Dienstbezüge im Sinne des Absatzes 1 sind das Grundgehalt, der Familienzuschlag, Amtszulagen, ruhegehaltfähige Stellenzulagen und ruhegehaltfähige Leistungsbezüge für Professoren sowie hauptberufliche Leiter von Hochschulen und Mitglieder von Leitungsgremien an Hochschulen.</w:t>
      </w:r>
    </w:p>
    <w:p>
      <w:r>
        <w:rPr>
          <w:color w:val="555555"/>
          <w:sz w:val="17"/>
        </w:rPr>
        <w:t xml:space="preserve">Zitiervorschlag: § 8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