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BBesG — Konkurrenzregelung beim Grundgehalt für den vom Besoldungsüberleitungsgesetz erfassten Personenkreis</w:t>
      </w:r>
    </w:p>
    <w:p>
      <w:r>
        <w:rPr>
          <w:color w:val="555555"/>
          <w:sz w:val="18"/>
        </w:rPr>
        <w:t xml:space="preserve">Bundesbesoldungsgesetz</w:t>
      </w:r>
    </w:p>
    <w:p>
      <w:r>
        <w:rPr>
          <w:color w:val="555555"/>
          <w:sz w:val="18"/>
        </w:rPr>
        <w:t xml:space="preserve">Stand: 10.01.2020 (konsolidierte Textfassung, kein amtliches Inkrafttretensdatum)</w:t>
      </w:r>
    </w:p>
    <w:p>
      <w:r>
        <w:t xml:space="preserve">Ansprüche auf Grundgehalt nach Anlage IV sind neben Ansprüchen auf Grundgehalt nach den Anlagen 1 oder 2 des Besoldungsüberleitungsgesetzes ausgeschlossen. Der Anspruch auf Grundgehalt nach Anlage IV entsteht erst mit der endgültigen Zuordnung zu oder dem endgültigen Erreichen einer Stufe des Grundgehaltes nach den Vorschriften des Besoldungsüberleitungsgesetzes. Bis zu diesem Zeitpunkt besteht ein Anspruch auf Grundgehalt nach den Anlagen 1 oder 2 des Besoldungsüberleitungsgesetzes.</w:t>
      </w:r>
    </w:p>
    <w:p>
      <w:r>
        <w:rPr>
          <w:color w:val="555555"/>
          <w:sz w:val="17"/>
        </w:rPr>
        <w:t xml:space="preserve">Zitiervorschlag: § 76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