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75 BBesG — Übergangszahlung</w:t>
      </w:r>
    </w:p>
    <w:p>
      <w:r>
        <w:rPr>
          <w:color w:val="555555"/>
          <w:sz w:val="18"/>
        </w:rPr>
        <w:t xml:space="preserve">Bundesbesoldungsgesetz</w:t>
      </w:r>
    </w:p>
    <w:p>
      <w:r>
        <w:rPr>
          <w:color w:val="555555"/>
          <w:sz w:val="18"/>
        </w:rPr>
        <w:t xml:space="preserve">Stand: 10.01.2020 (konsolidierte Textfassung, kein amtliches Inkrafttretensdatum)</w:t>
      </w:r>
    </w:p>
    <w:p>
      <w:r>
        <w:t xml:space="preserve">(1) Das Bundesministerium des Innern, für Bau und Heimat wird ermächtigt, durch Rechtsverordnung die Gewährung einer Übergangszahlung für Beamte des einfachen und mittleren Dienstes zu regeln, die nach einer hauptberuflichen Tätigkeit in der Bundesverwaltung von mindestens einem Jahr vom Arbeitnehmerverhältnis in das Beamtenverhältnis übernommen worden sind und deren Nettobezüge danach geringer als die zuletzt im Arbeitnehmerverhältnis gewährten sind. Eine Übergangszahlung darf nur für Beamte in Laufbahnen vorgesehen werden, in denen der Nachwuchs in erheblichem Umfang aus dem Arbeitnehmerverhältnis gewonnen wird. Die Laufbahnen werden in der Rechtsverordnung festgelegt.</w:t>
      </w:r>
    </w:p>
    <w:p>
      <w:r>
        <w:t xml:space="preserve">(2) Die Höhe der Übergangszahlung ist das Dreizehnfache des Betrages, um den die Nettobezüge nach der Übernahme in das Beamtenverhältnis geringer sind als die Nettobezüge, die zuletzt im Arbeitnehmerverhältnis gewährt worden sind, höchstens jedoch 1 533,88 Euro. Beträgt die Verringerung monatlich bis 5,11 Euro, wird eine Übergangszahlung nicht gewährt. Es wird bestimmt, wie die Verringerung der Nettobezüge zu ermitteln ist, insbesondere in welchem Umfang Lohn- und Besoldungsbestandteile in den einzelnen Bereichen bei der Vergleichsberechnung zu berücksichtigen sind. Die Übergangszahlung ist zurückzuzahlen, wenn der Beamte vor Ablauf eines Jahres aus dem Beamtenverhältnis ausscheidet und er dies zu vertreten hat.</w:t>
      </w:r>
    </w:p>
    <w:p>
      <w:r>
        <w:rPr>
          <w:color w:val="555555"/>
          <w:sz w:val="17"/>
        </w:rPr>
        <w:t xml:space="preserve">Zitiervorschlag: § 75 BBesG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https://recht.nulegal.eu/gesetze/BBesG/75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