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BBesG — Besoldung bei begrenzter Dienstfähigkeit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Bei begrenzter Dienstfähigkeit (§ 45 des Bundesbeamtengesetzes) erhält der Beamte oder Richter Dienstbezüge entsprechend § 6 Absatz 1.</w:t>
      </w:r>
    </w:p>
    <w:p>
      <w:r>
        <w:t xml:space="preserve">(2) Begrenzt Dienstfähige erhalten zusätzlich zu den Dienstbezügen nach Absatz 1 einen nicht ruhegehaltfähigen Zuschlag. Der Zuschlag beträgt 50 Prozent des Unterschiedsbetrages zwischen den nach Absatz 1 gekürzten Dienstbezügen und den Dienstbezügen, die bei einer Vollzeitbeschäftigung zustünden.</w:t>
      </w:r>
    </w:p>
    <w:p>
      <w:r>
        <w:t xml:space="preserve">(3) In die Zuschlagsberechnung nach Absatz 2 sind einzubeziehen:</w:t>
      </w:r>
    </w:p>
    <w:p>
      <w:pPr>
        <w:ind w:left="420"/>
      </w:pPr>
      <w:r>
        <w:t xml:space="preserve">1. das Grundgehalt,</w:t>
      </w:r>
    </w:p>
    <w:p>
      <w:pPr>
        <w:ind w:left="420"/>
      </w:pPr>
      <w:r>
        <w:t xml:space="preserve">2. der Familienzuschlag,</w:t>
      </w:r>
    </w:p>
    <w:p>
      <w:pPr>
        <w:ind w:left="420"/>
      </w:pPr>
      <w:r>
        <w:t xml:space="preserve">3. Amts- und Stellenzulagen,</w:t>
      </w:r>
    </w:p>
    <w:p>
      <w:pPr>
        <w:ind w:left="420"/>
      </w:pPr>
      <w:r>
        <w:t xml:space="preserve">4. Überleitungs- und Ausgleichszulagen,</w:t>
      </w:r>
    </w:p>
    <w:p>
      <w:pPr>
        <w:ind w:left="420"/>
      </w:pPr>
      <w:r>
        <w:t xml:space="preserve">5. Zuschüsse und Leistungsbezüge für Professoren sowie hauptamtliche Leiter an Hochschulen und für Mitglieder von Leitungsgremien an Hochschulen.</w:t>
      </w:r>
    </w:p>
    <w:p>
      <w:r>
        <w:t xml:space="preserve">(4) Wird die Arbeitszeit auf Grund einer Teilzeitbeschäftigung zusätzlich reduziert, verringert sich der Zuschlag nach Absatz 2 entsprechend dem Verhältnis zwischen der wegen begrenzter Dienstfähigkeit verringerten Arbeitszeit und der insgesamt reduzierten Arbeitszeit.</w:t>
      </w:r>
    </w:p>
    <w:p>
      <w:r>
        <w:t xml:space="preserve">(5) Der Zuschlag nach Absatz 2 wird nicht gewährt neben einem Zuschlag</w:t>
      </w:r>
    </w:p>
    <w:p>
      <w:pPr>
        <w:ind w:left="420"/>
      </w:pPr>
      <w:r>
        <w:t xml:space="preserve">1. nach § 6 Absatz 2 in Verbindung mit der Altersteilzeitzuschlagsverordnung,</w:t>
      </w:r>
    </w:p>
    <w:p>
      <w:pPr>
        <w:ind w:left="420"/>
      </w:pPr>
      <w:r>
        <w:t xml:space="preserve">2. nach § 6 Absatz 3 oder Absatz 4,</w:t>
      </w:r>
    </w:p>
    <w:p>
      <w:pPr>
        <w:ind w:left="420"/>
      </w:pPr>
      <w:r>
        <w:t xml:space="preserve">3. nach § 7a,</w:t>
      </w:r>
    </w:p>
    <w:p>
      <w:pPr>
        <w:ind w:left="420"/>
      </w:pPr>
      <w:r>
        <w:t xml:space="preserve">4. nach § 2 der Telekom-Beamtenaltersteilzeitverordnung,</w:t>
      </w:r>
    </w:p>
    <w:p>
      <w:pPr>
        <w:ind w:left="420"/>
      </w:pPr>
      <w:r>
        <w:t xml:space="preserve">5. nach § 2 der Postbeamtenaltersteilzeitverordnung oder</w:t>
      </w:r>
    </w:p>
    <w:p>
      <w:pPr>
        <w:ind w:left="420"/>
      </w:pPr>
      <w:r>
        <w:t xml:space="preserve">6. nach § 2 der Deutsche-Bank-Beamtenaltersteilzeitverordnung.</w:t>
      </w:r>
    </w:p>
    <w:p>
      <w:r>
        <w:rPr>
          <w:color w:val="555555"/>
          <w:sz w:val="17"/>
        </w:rPr>
        <w:t xml:space="preserve">Zitiervorschlag: § 6a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