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BBesG — Anrechnung anderer Einkünfte</w:t>
      </w:r>
    </w:p>
    <w:p>
      <w:r>
        <w:rPr>
          <w:color w:val="555555"/>
          <w:sz w:val="18"/>
        </w:rPr>
        <w:t xml:space="preserve">Bundesbesoldungsgesetz</w:t>
      </w:r>
    </w:p>
    <w:p>
      <w:r>
        <w:rPr>
          <w:color w:val="555555"/>
          <w:sz w:val="18"/>
        </w:rPr>
        <w:t xml:space="preserve">Stand: 10.06.2019 (konsolidierte Textfassung, kein amtliches Inkrafttretensdatum)</w:t>
      </w:r>
    </w:p>
    <w:p>
      <w:r>
        <w:t xml:space="preserve">(1) Erhalten Anwärter ein Entgelt für eine Nebentätigkeit innerhalb oder für eine genehmigungspflichtige Nebentätigkeit außerhalb des öffentlichen Dienstes, so wird das Entgelt auf die Anwärterbezüge angerechnet, soweit es diese übersteigt. Als Anwärtergrundbetrag werden jedoch mindestens 30 Prozent des Anfangsgrundgehaltes der Eingangsbesoldungsgruppe der Laufbahn gewährt.</w:t>
      </w:r>
    </w:p>
    <w:p>
      <w:r>
        <w:t xml:space="preserve">(2) Hat der Anwärter einen arbeitsrechtlichen Anspruch auf ein Entgelt für eine in den Ausbildungsrichtlinien vorgeschriebene Tätigkeit außerhalb des öffentlichen Dienstes, so wird das Entgelt auf die Anwärterbezüge angerechnet, soweit die Summe von Entgelt, Anwärterbezügen und Familienzuschlag die Summe von Grundgehalt und Familienzuschlag übersteigt, die einem Beamten mit gleichem Familienstand im Eingangsamt der entsprechenden Laufbahn in der ersten Stufe zusteht.</w:t>
      </w:r>
    </w:p>
    <w:p>
      <w:r>
        <w:t xml:space="preserve">(3) Übt ein Anwärter gleichzeitig eine Tätigkeit im öffentlichen Dienst mit mindestens der Hälfte der dafür geltenden regelmäßigen Arbeitszeit aus, gilt § 5 entsprechend.</w:t>
      </w:r>
    </w:p>
    <w:p>
      <w:r>
        <w:rPr>
          <w:color w:val="555555"/>
          <w:sz w:val="17"/>
        </w:rPr>
        <w:t xml:space="preserve">Zitiervorschlag: § 65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