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BBesG — Auslandsverpflichtungsprämie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Einem Beamten, der sich verpflichtet hat, im Rahmen einer besonderen Verwendung im Ausland mindestens zwei Wochen Dienst zu leisten, kann eine Auslandsverpflichtungsprämie gewährt werden, wenn</w:t>
      </w:r>
    </w:p>
    <w:p>
      <w:pPr>
        <w:ind w:left="420"/>
      </w:pPr>
      <w:r>
        <w:t xml:space="preserve">1. es sich um eine Verwendung nach § 56 Absatz 1 Satz 2 Nummer 5 handelt und</w:t>
      </w:r>
    </w:p>
    <w:p>
      <w:pPr>
        <w:ind w:left="420"/>
      </w:pPr>
      <w:r>
        <w:t xml:space="preserve">2. die Verwendung im Rahmen einer über- oder zwischenstaatlichen Zusammenarbeit oder im Rahmen einer Mission der Europäischen Union oder einer internationalen Organisation erfolgt und</w:t>
      </w:r>
    </w:p>
    <w:p>
      <w:pPr>
        <w:ind w:left="420"/>
      </w:pPr>
      <w:r>
        <w:t xml:space="preserve">3. die Europäische Union oder eine internationale Organisation Mitgliedern einer von ihr in denselben Staat entsandten Mission für materielle Mehraufwendungen und immaterielle Belastungen sowie für Reisekosten höhere auslandsbezogene Gesamtleistungen gewährt.</w:t>
      </w:r>
    </w:p>
    <w:p>
      <w:r>
        <w:t xml:space="preserve">Der Höchstbetrag der Prämie entspricht dem Unterschiedsbetrag zur höheren auslandsbezogenen Gesamtleistung im auf die Verpflichtung folgenden Verwendungszeitraum.</w:t>
      </w:r>
    </w:p>
    <w:p>
      <w:r>
        <w:t xml:space="preserve">(2) Für die Zahlung der Prämie gilt § 56 Absatz 2 Satz 6 und 7 entsprechend. Die Prämie darf nur gezahlt werden, wenn während der Mindestverpflichtungszeit ununterbrochen Anspruch auf Auslandsverwendungszuschlag bestand. Wird dieser Zeitraum aus Gründen nicht erreicht, die vom Beamten nicht zu vertreten sind, gilt § 3 Absatz 3 entsprechend.</w:t>
      </w:r>
    </w:p>
    <w:p>
      <w:r>
        <w:rPr>
          <w:color w:val="555555"/>
          <w:sz w:val="17"/>
        </w:rPr>
        <w:t xml:space="preserve">Zitiervorschlag: § 57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