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BBesG — Kaufkraftausgleich</w:t>
      </w:r>
    </w:p>
    <w:p>
      <w:r>
        <w:rPr>
          <w:color w:val="555555"/>
          <w:sz w:val="18"/>
        </w:rPr>
        <w:t xml:space="preserve">Bundesbesoldungsgesetz</w:t>
      </w:r>
    </w:p>
    <w:p>
      <w:r>
        <w:rPr>
          <w:color w:val="555555"/>
          <w:sz w:val="18"/>
        </w:rPr>
        <w:t xml:space="preserve">Stand: 10.01.2020 (konsolidierte Textfassung, kein amtliches Inkrafttretensdatum)</w:t>
      </w:r>
    </w:p>
    <w:p>
      <w:r>
        <w:t xml:space="preserve">(1) Entspricht bei einer allgemeinen Verwendung im Ausland die Kaufkraft der Besoldung am ausländischen Dienstort nicht der Kaufkraft der Besoldung am Sitz der Bundesregierung, ist der Unterschied durch Zu- oder Abschläge auszugleichen (Kaufkraftausgleich). Beim Mietzuschuss sowie beim Auslandszuschlag für im Inland lebende Kinder wird ein Kaufkraftausgleich nicht vorgenommen.</w:t>
      </w:r>
    </w:p>
    <w:p>
      <w:r>
        <w:t xml:space="preserve">(2) Das Statistische Bundesamt ermittelt für den einzelnen Dienstort nach einer wissenschaftlichen Berechnungsmethode auf Grund eines Preisvergleichs und des Wechselkurses zwischen den Währungen den Prozentsatz, um den die Lebenshaltungskosten am ausländischen Dienstort höher oder niedriger sind als am Sitz der Bundesregierung (Teuerungsziffer). Die Teuerungsziffern sind vom Statistischen Bundesamt bekannt zu machen.</w:t>
      </w:r>
    </w:p>
    <w:p>
      <w:r>
        <w:t xml:space="preserve">(3) Der Kaufkraftausgleich wird anhand der Teuerungsziffer festgesetzt. Die Berechnungsgrundlage beträgt 60 Prozent des Grundgehaltes, der Anwärterbezüge, des Familienzuschlags, des Auslandszuschlags sowie der Zulagen und Vergütungen, deren jeweilige besondere Voraussetzungen auch bei Verwendung im Ausland vorliegen. Abweichend hiervon beträgt die Berechnungsgrundlage 100 Prozent bei Anwärtern, die bei einer von ihnen selbst ausgewählten Stelle im Ausland ausgebildet werden.</w:t>
      </w:r>
    </w:p>
    <w:p>
      <w:r>
        <w:t xml:space="preserve">(4) Die Einzelheiten zur Festsetzung des Kaufkraftausgleichs regelt das Auswärtige Amt im Einvernehmen mit dem Bundesministerium des Innern, für Bau und Heimat und dem Bundesministerium der Finanzen, hinsichtlich der Bundeswehrstandorte im Ausland auch im Einvernehmen mit dem Bundesministerium der Verteidigung, durch allgemeine Verwaltungsvorschrift.</w:t>
      </w:r>
    </w:p>
    <w:p>
      <w:r>
        <w:rPr>
          <w:color w:val="555555"/>
          <w:sz w:val="17"/>
        </w:rPr>
        <w:t xml:space="preserve">Zitiervorschlag: § 55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