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BBesG — Grundlage des Familienzuschlages</w:t>
      </w:r>
    </w:p>
    <w:p>
      <w:r>
        <w:rPr>
          <w:color w:val="555555"/>
          <w:sz w:val="18"/>
        </w:rPr>
        <w:t xml:space="preserve">Bundesbesoldungsgesetz</w:t>
      </w:r>
    </w:p>
    <w:p>
      <w:r>
        <w:rPr>
          <w:color w:val="555555"/>
          <w:sz w:val="18"/>
        </w:rPr>
        <w:t xml:space="preserve">Stand: 10.06.2019 (konsolidierte Textfassung, kein amtliches Inkrafttretensdatum)</w:t>
      </w:r>
    </w:p>
    <w:p>
      <w:r>
        <w:t xml:space="preserve">(1) Der Familienzuschlag wird nach der Anlage V gewährt. Seine Höhe richtet sich nach der Besoldungsgruppe und der Stufe, die den Familienverhältnissen des Beamten, Richters oder Soldaten entspricht. Für Beamte auf Widerruf im Vorbereitungsdienst (Anwärter) ist die Besoldungsgruppe des Eingangsamtes maßgebend, in das der Anwärter nach Abschluss des Vorbereitungsdienstes unmittelbar eintritt.</w:t>
      </w:r>
    </w:p>
    <w:p>
      <w:r>
        <w:t xml:space="preserve">(2) Bei ledigen Beamten oder Soldaten, die auf Grund dienstlicher Verpflichtungen in einer Gemeinschaftsunterkunft wohnen, wird der in Anlage V ausgebrachte Betrag auf das Grundgehalt angerechnet. Steht ihnen Kindergeld nach dem Einkommensteuergesetz oder nach dem Bundeskindergeldgesetz zu oder würde es ihnen ohne Berücksichtigung des § 64 oder § 65 des Einkommensteuergesetzes oder des § 3 oder § 4 des Bundeskindergeldgesetzes zustehen, so erhalten sie zusätzlich den Unterschiedsbetrag zwischen der Stufe 1 und der Stufe des Familienzuschlages, der der Anzahl der Kinder entspricht. § 40 Abs. 5 gilt entsprechend.</w:t>
      </w:r>
    </w:p>
    <w:p>
      <w:r>
        <w:rPr>
          <w:color w:val="555555"/>
          <w:sz w:val="17"/>
        </w:rPr>
        <w:t xml:space="preserve">Zitiervorschlag: § 39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