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BBesG — Forschungs- und Lehrzulage</w:t>
      </w:r>
    </w:p>
    <w:p>
      <w:r>
        <w:rPr>
          <w:color w:val="555555"/>
          <w:sz w:val="18"/>
        </w:rPr>
        <w:t xml:space="preserve">Bundesbesoldungsgesetz</w:t>
      </w:r>
    </w:p>
    <w:p>
      <w:r>
        <w:rPr>
          <w:color w:val="555555"/>
          <w:sz w:val="18"/>
        </w:rPr>
        <w:t xml:space="preserve">Stand: 10.01.2020 (konsolidierte Textfassung, kein amtliches Inkrafttretensdatum)</w:t>
      </w:r>
    </w:p>
    <w:p>
      <w:r>
        <w:t xml:space="preserve">Das Bundesministerium der Verteidigung für seinen Bereich, das Bundesministerium des Innern, für Bau und Heimat im Einvernehmen mit den für die jeweiligen Fachbereiche zuständigen Bundesministerien für die Hochschule des Bundes für öffentliche Verwaltung sowie das Bundesministerium für Arbeit und Soziales im Einvernehmen mit dem Bundesministerium des Innern für die Hochschule der Bundesagentur für Arbeit können durch Rechtsverordnung vorsehen, dass an Professoren, die Mittel privater Dritter für Forschungsvorhaben oder Lehrvorhaben der Hochschule einwerben und diese Vorhaben durchführen, für die Dauer des Drittmittelflusses aus diesen Mitteln eine nicht ruhegehaltfähige Zulage vergeben werden kann. Eine Zulage für die Durchführung von Lehrvorhaben darf nur vergeben werden, wenn die entsprechende Lehrtätigkeit des Professors nicht auf seine Regellehrverpflichtung angerechnet wird. Das Bundesministerium für Arbeit und Soziales kann im Einvernehmen mit dem Bundesministerium des Innern, für Bau und Heimat die Befugnis nach Satz 1 auf den Vorstand der Bundesagentur für Arbeit durch Rechtsverordnung übertragen; Rechtsverordnungen, die auf Grund der Übertragung vom Vorstand der Bundesagentur für Arbeit erlassen werden, bedürfen des Einvernehmens mit dem Bundesministerium für Arbeit und Soziales und dem Bundesministerium des Innern.</w:t>
      </w:r>
    </w:p>
    <w:p>
      <w:r>
        <w:rPr>
          <w:color w:val="555555"/>
          <w:sz w:val="17"/>
        </w:rPr>
        <w:t xml:space="preserve">Zitiervorschlag: § 35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