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BBesG — Bemessung des Grundgehaltes</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Das Grundgehalt wird, soweit nicht gesetzlich etwas Anderes bestimmt ist, nach Stufen bemessen. Dabei erfolgt der Aufstieg in eine nächsthöhere Stufe nach bestimmten Dienstzeiten, in denen anforderungsgerechte Leistungen erbracht wurden (Erfahrungszeiten).</w:t>
      </w:r>
    </w:p>
    <w:p>
      <w:r>
        <w:t xml:space="preserve">(2) Mit der Ernennung zum Professor mit Anspruch auf Dienstbezüge wird in der Besoldungsgruppe W 2 oder W 3 ein Grundgehalt der Stufe 1 festgesetzt, soweit nicht Erfahrungszeiten nach § 32b Absatz 1 anerkannt werden. Die Stufe wird mit Wirkung vom Ersten des Monats festgesetzt, in dem die Ernennung wirksam wird. Die Sätze 1 und 2 gelten entsprechend für</w:t>
      </w:r>
    </w:p>
    <w:p>
      <w:pPr>
        <w:ind w:left="420"/>
      </w:pPr>
      <w:r>
        <w:t xml:space="preserve">1. die in § 27 Absatz 2 Satz 4 Nummer 1 genannten Fälle,</w:t>
      </w:r>
    </w:p>
    <w:p>
      <w:pPr>
        <w:ind w:left="420"/>
      </w:pPr>
      <w:r>
        <w:t xml:space="preserve">2. den Wechsel aus einem Amt der Bundesbesoldungsordnungen A, B, C oder R oder der Besoldungsgruppe W 1.</w:t>
      </w:r>
    </w:p>
    <w:p>
      <w:r>
        <w:t xml:space="preserve">(3) Das Grundgehalt steigt nach Erfahrungszeiten von jeweils sieben Jahren in den Stufen 1 und 2.</w:t>
      </w:r>
    </w:p>
    <w:p>
      <w:r>
        <w:t xml:space="preserve">(4) Zeiten ohne Anspruch auf Dienstbezüge verzögern den Aufstieg in den Stufen um diese Zeiten, soweit in § 32b nicht etwas Anderes bestimmt ist. Die Zeiten sind auf volle Monate abzurunden.</w:t>
      </w:r>
    </w:p>
    <w:p>
      <w:r>
        <w:t xml:space="preserve">(5) § 27 Absatz 4, 5 und 6 Satz 1 und 2 gilt entsprechend. Die Besonderheiten der Hochschulen sind zu berücksichtigen. Die in § 33 Absatz 4 genannten Stellen werden ermächtigt, nach dem dort bestimmten Verfahren nähere Regelungen durch Rechtsverordnung zu treffen.</w:t>
      </w:r>
    </w:p>
    <w:p>
      <w:r>
        <w:t xml:space="preserve">(6) Die Entscheidung nach Absatz 2 trifft die oberste Dienstbehörde oder die von ihr bestimmte Stelle. Die Entscheidung nach § 27 Absatz 4, 5 und 6 Satz 1 und 2 in Verbindung mit Absatz 5 Satz 1 trifft die Hochschule. Satz 2 gilt nicht für Entscheidungen, die die Hochschulleitung betreffen; mit Ausnahme der Bewertung der wissenschaftlichen Leistung trifft diese Entscheidungen die oberste Dienstbehörde. Entscheidungen nach den Sätzen 1 bis 3 sind dem Professor oder dem hauptamtlichen Mitglied der Hochschulleitung schriftlich mitzuteilen. Gegen die Entscheidung nach § 27 Absatz 4, 5 und 6 Satz 1 und 2 in Verbindung mit Absatz 5 Satz 1 haben Widerspruch und Anfechtungsklage keine aufschiebende Wirkung.</w:t>
      </w:r>
    </w:p>
    <w:p>
      <w:r>
        <w:rPr>
          <w:color w:val="555555"/>
          <w:sz w:val="17"/>
        </w:rPr>
        <w:t xml:space="preserve">Zitiervorschlag: § 32a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