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BBesG — Eingangsamt für Beamte in besonderen Laufbahnen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Eingangsamt in Sonderlaufbahnen, bei denen</w:t>
      </w:r>
    </w:p>
    <w:p>
      <w:pPr>
        <w:ind w:left="420"/>
      </w:pPr>
      <w:r>
        <w:t xml:space="preserve">1. die Ausbildung mit einer gegenüber dem nichttechnischen oder technischen Verwaltungsdienst besonders gestalteten Prüfung abgeschlossen wird oder die Ablegung einer zusätzlichen Prüfung vorgeschrieben ist und</w:t>
      </w:r>
    </w:p>
    <w:p>
      <w:pPr>
        <w:ind w:left="420"/>
      </w:pPr>
      <w:r>
        <w:t xml:space="preserve">2. im Eingangsamt Anforderungen gestellt werden, die bei sachgerechter Bewertung zwingend die Zuweisung des Eingangsamtes zu einer anderen Besoldungsgruppe als nach § 23 erfordern,</w:t>
      </w:r>
    </w:p>
    <w:p>
      <w:r>
        <w:t xml:space="preserve">kann der höheren Besoldungsgruppe zugewiesen werden, in die gleichwertige Ämter eingereiht sind. Die Festlegung als Eingangsamt ist in den Bundesbesoldungsordnungen zu kennzeichnen.</w:t>
      </w:r>
    </w:p>
    <w:p>
      <w:r>
        <w:t xml:space="preserve">(2) Das Eingangsamt in Laufbahnen des einfachen Dienstes kann, wenn die Voraussetzung des Absatzes 1 Satz 1 Nummer 2 erfüllt ist, der höheren Besoldungsgruppe zugewiesen werden, in die gleichwertige Ämter eingereiht sind.</w:t>
      </w:r>
    </w:p>
    <w:p>
      <w:r>
        <w:rPr>
          <w:color w:val="555555"/>
          <w:sz w:val="17"/>
        </w:rPr>
        <w:t xml:space="preserve">Zitiervorschlag: § 24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