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BBesG — Besoldung bei Verleihung eines anderen Amtes</w:t>
      </w:r>
    </w:p>
    <w:p>
      <w:r>
        <w:rPr>
          <w:color w:val="555555"/>
          <w:sz w:val="18"/>
        </w:rPr>
        <w:t xml:space="preserve">Bundesbesoldungsgesetz</w:t>
      </w:r>
    </w:p>
    <w:p>
      <w:r>
        <w:rPr>
          <w:color w:val="555555"/>
          <w:sz w:val="18"/>
        </w:rPr>
        <w:t xml:space="preserve">Stand: 10.06.2019 (konsolidierte Textfassung, kein amtliches Inkrafttretensdatum)</w:t>
      </w:r>
    </w:p>
    <w:p>
      <w:r>
        <w:t xml:space="preserve">Verringert sich während eines Dienstverhältnisses nach § 1 Absatz 1 das Grundgehalt durch Verleihung eines anderen Amtes aus Gründen, die nicht vom Beamten, Richter oder Soldaten zu vertreten sind, ist abweichend von § 19 das Grundgehalt zu zahlen, das dem Besoldungsempfänger bei einem Verbleiben in dem bisherigen Amt zugestanden hätte. Satz 1 gilt entsprechend bei einem Wechsel eines Beamten in das Dienstverhältnis eines Richters oder bei einem Wechsel eines Richters in das Dienstverhältnis eines Beamten. Veränderungen in der Bewertung des bisherigen Amtes bleiben unberücksichtigt. Die Sätze 1 und 2 gelten entsprechend für Amtszulagen, auch bei Übertragung einer anderen Funktion. Die Sätze 1 bis 3 gelten nicht im Fall des § 24 Absatz 6 Satz 3 des Bundesbeamtengesetzes sowie im Fall der Übertragung eines Amtes in einem Dienstverhältnis auf Zeit.</w:t>
      </w:r>
    </w:p>
    <w:p>
      <w:r>
        <w:rPr>
          <w:color w:val="555555"/>
          <w:sz w:val="17"/>
        </w:rPr>
        <w:t xml:space="preserve">Zitiervorschlag: § 19a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