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BBesG — Zahlungsweise</w:t>
      </w:r>
    </w:p>
    <w:p>
      <w:r>
        <w:rPr>
          <w:color w:val="555555"/>
          <w:sz w:val="18"/>
        </w:rPr>
        <w:t xml:space="preserve">Bundesbesoldungsgesetz</w:t>
      </w:r>
    </w:p>
    <w:p>
      <w:r>
        <w:rPr>
          <w:color w:val="555555"/>
          <w:sz w:val="18"/>
        </w:rPr>
        <w:t xml:space="preserve">Stand: 14.03.2026 (konsolidierte Textfassung, kein amtliches Inkrafttretensdatum)</w:t>
      </w:r>
    </w:p>
    <w:p>
      <w:r>
        <w:t xml:space="preserve">Für die Zahlung der Besoldung nach § 1 Absatz 2 und 3 und von Aufwandsentschädigungen nach § 17 hat der Empfänger auf Verlangen der zuständigen Behörde ein Konto anzugeben, für das die Verordnung (EU) Nr. 260/2012 des Europäischen Parlaments und des Rates vom 14. März 2012 zur Festlegung der technischen Vorschriften und der Geschäftsanforderungen für Überweisungen und Lastschriften in Euro und zur Änderung der Verordnung (EG) Nr. 924/2009 (ABl. L 94 vom 30.3.2012, S. 22), die zuletzt durch die Verordnung (EU) 2024/886 (ABl. L, 2024/886, 19.3.2024) geändert worden ist, gilt. Die Übermittlungskosten mit Ausnahme der Kosten für die Gutschrift auf dem Konto des Empfängers trägt der Dienstherr, die Kontoeinrichtungs-, Kontoführungs- oder Buchungsgebühren trägt der Empfänger. Eine Auszahlung auf andere Weise kann nur zugestanden werden, wenn dem Empfänger die Einrichtung oder Benutzung eines Kontos aus wichtigem Grund nicht zugemutet werden kann.</w:t>
      </w:r>
    </w:p>
    <w:p>
      <w:r>
        <w:rPr>
          <w:color w:val="555555"/>
          <w:sz w:val="17"/>
        </w:rPr>
        <w:t xml:space="preserve">Zitiervorschlag: § 17a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