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BBesG — Aufwandsentschädigungen</w:t>
      </w:r>
    </w:p>
    <w:p>
      <w:r>
        <w:rPr>
          <w:color w:val="555555"/>
          <w:sz w:val="18"/>
        </w:rPr>
        <w:t xml:space="preserve">Bundesbesoldungsgesetz</w:t>
      </w:r>
    </w:p>
    <w:p>
      <w:r>
        <w:rPr>
          <w:color w:val="555555"/>
          <w:sz w:val="18"/>
        </w:rPr>
        <w:t xml:space="preserve">Stand: 10.01.2020 (konsolidierte Textfassung, kein amtliches Inkrafttretensdatum)</w:t>
      </w:r>
    </w:p>
    <w:p>
      <w:r>
        <w:t xml:space="preserve">Aufwandsentschädigungen dürfen nur gewährt werden, wenn und soweit aus dienstlicher Veranlassung finanzielle Aufwendungen entstehen, deren Übernahme dem Beamten, Richter oder Soldaten nicht zugemutet werden kann, und der Haushaltsplan Mittel zur Verfügung stellt. Aufwandsentschädigungen in festen Beträgen sind nur zulässig, wenn auf Grund tatsächlicher Anhaltspunkte oder tatsächlicher Erhebungen nachvollziehbar ist, dass und in welcher Höhe dienstbezogene finanzielle Aufwendungen typischerweise entstehen; sie werden im Einvernehmen mit dem Bundesministerium des Innern, für Bau und Heimat festgesetzt.</w:t>
      </w:r>
    </w:p>
    <w:p>
      <w:r>
        <w:rPr>
          <w:color w:val="555555"/>
          <w:sz w:val="17"/>
        </w:rPr>
        <w:t xml:space="preserve">Zitiervorschlag: § 17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