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14a BBesG — Versorgungsrücklage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Um die Versorgungsleistungen angesichts der demographischen Veränderungen und des Anstiegs der Zahl der Versorgungsempfänger sicherzustellen, wird eine Versorgungsrücklage als Sondervermögen aus der Verminderung der Besoldungs- und Versorgungserhöhungen nach Absatz 2 gebildet. Dafür werden bis zum 31. Dezember 2024 Erhöhungen der Besoldung und Versorgung vermindert.</w:t>
      </w:r>
    </w:p>
    <w:p>
      <w:r>
        <w:t xml:space="preserve">(2) Jede Erhöhung nach § 14 Absatz 1 wird um 0,2 Prozentpunkte vermindert. Werden Besoldung und Versorgung durch dasselbe Gesetz zeitlich gestaffelt erhöht, erfolgt die Verminderung nur bei der ersten Erhöhung. Die Unterschiedsbeträge gegenüber den nicht nach Satz 1 verminderten Erhöhungen werden der Versorgungsrücklage des Bundes zugeführt. Die Mittel der Versorgungsrücklage dürfen nur zur Finanzierung der Versorgungsausgaben verwendet werden.</w:t>
      </w:r>
    </w:p>
    <w:p>
      <w:r>
        <w:t xml:space="preserve">(3) Die Unterschiedsbeträge nach Absatz 2 und 50 Prozent der Verminderung der Versorgungsausgaben durch das Versorgungsänderungsgesetz 2001 vom 20. Dezember 2001 (BGBl. I S. 3926) werden der Versorgungsrücklage jährlich, letztmalig in 2031, zugeführt.</w:t>
      </w:r>
    </w:p>
    <w:p>
      <w:r>
        <w:t xml:space="preserve">(4) Das Nähere, insbesondere die Verwaltung und Anlage des Sondervermögens, wird durch ein besonderes Gesetz geregelt.</w:t>
      </w:r>
    </w:p>
    <w:p>
      <w:r>
        <w:rPr>
          <w:color w:val="555555"/>
          <w:sz w:val="17"/>
        </w:rPr>
        <w:t xml:space="preserve">Zitiervorschlag: § 14a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https://recht.nulegal.eu/gesetze/BBesG/14a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