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BBesG — Anrechnung von Sachbezügen auf die Besoldung</w:t>
      </w:r>
    </w:p>
    <w:p>
      <w:r>
        <w:rPr>
          <w:color w:val="555555"/>
          <w:sz w:val="18"/>
        </w:rPr>
        <w:t xml:space="preserve">Bundesbesoldungsgesetz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Erhält ein Beamter, Richter oder Soldat Sachbezüge, so werden diese unter Berücksichtigung ihres wirtschaftlichen Wertes mit einem angemessenen Betrag auf die Besoldung angerechnet, soweit nichts anderes bestimmt ist.</w:t>
      </w:r>
    </w:p>
    <w:p>
      <w:r>
        <w:rPr>
          <w:color w:val="555555"/>
          <w:sz w:val="17"/>
        </w:rPr>
        <w:t xml:space="preserve">Zitiervorschlag: § 10 BBesG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https://recht.nulegal.eu/gesetze/BBesG/10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