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BBergG — Besitzeinweisungsentschädigung</w:t>
      </w:r>
    </w:p>
    <w:p>
      <w:r>
        <w:rPr>
          <w:color w:val="555555"/>
          <w:sz w:val="18"/>
        </w:rPr>
        <w:t xml:space="preserve">Bundesberggesetz</w:t>
      </w:r>
    </w:p>
    <w:p>
      <w:r>
        <w:rPr>
          <w:color w:val="555555"/>
          <w:sz w:val="18"/>
        </w:rPr>
        <w:t xml:space="preserve">Stand: 10.06.2019 (konsolidierte Textfassung, kein amtliches Inkrafttretensdatum)</w:t>
      </w:r>
    </w:p>
    <w:p>
      <w:r>
        <w:t xml:space="preserve">(1) Der Grundabtretungsbegünstigte hat für die durch die vorzeitige Besitzeinweisung entstehenden Vermögensnachteile Entschädigung in Geld zu leisten, soweit die Nachteile nicht durch die Verzinsung der Geldentschädigung (§ 84 Abs. 4) ausgeglichen werden. Art und Höhe der Entschädigung sind unter entsprechender Anwendung der §§ 84 bis 90 festzusetzen.</w:t>
      </w:r>
    </w:p>
    <w:p>
      <w:r>
        <w:t xml:space="preserve">(2) Die Entschädigung für die vorzeitige Besitzeinweisung ist ohne Rücksicht auf die Einlegung eines Rechtsbehelfs zu dem Zeitpunkt fällig, in dem die vorzeitige Besitzeinweisung wirksam wird.</w:t>
      </w:r>
    </w:p>
    <w:p>
      <w:r>
        <w:rPr>
          <w:color w:val="555555"/>
          <w:sz w:val="17"/>
        </w:rPr>
        <w:t xml:space="preserve">Zitiervorschlag: § 98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