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BBergG — Hinterlegung</w:t>
      </w:r>
    </w:p>
    <w:p>
      <w:r>
        <w:rPr>
          <w:color w:val="555555"/>
          <w:sz w:val="18"/>
        </w:rPr>
        <w:t xml:space="preserve">Bundesberggesetz</w:t>
      </w:r>
    </w:p>
    <w:p>
      <w:r>
        <w:rPr>
          <w:color w:val="555555"/>
          <w:sz w:val="18"/>
        </w:rPr>
        <w:t xml:space="preserve">Stand: 10.06.2019 (konsolidierte Textfassung, kein amtliches Inkrafttretensdatum)</w:t>
      </w:r>
    </w:p>
    <w:p>
      <w:r>
        <w:t xml:space="preserve">(1) Entschädigungen, aus denen Entschädigungsberechtigte nach § 87 Abs. 3 zu befriedigen sind, sind unter Verzicht auf das Recht der Rücknahme zu hinterlegen, soweit mehrere Personen auf sie Anspruch haben und eine Einigung über die Auszahlung nicht nachgewiesen ist. Die Hinterlegung ist bei dem Amtsgericht vorzunehmen, in dessen Bezirk das von der Grundabtretung betroffene Grundstück liegt; § 2 des Gesetzes über die Zwangsversteigerung und die Zwangsverwaltung gilt entsprechend.</w:t>
      </w:r>
    </w:p>
    <w:p>
      <w:r>
        <w:t xml:space="preserve">(2) Andere Vorschriften, nach denen die Hinterlegung geboten oder statthaft ist, bleiben unberührt.</w:t>
      </w:r>
    </w:p>
    <w:p>
      <w:r>
        <w:rPr>
          <w:color w:val="555555"/>
          <w:sz w:val="17"/>
        </w:rPr>
        <w:t xml:space="preserve">Zitiervorschlag: § 93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