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90 BBergG — Wertänderungen, Veränderungen, Begründung neuer Rechtsverhältnisse</w:t>
      </w:r>
    </w:p>
    <w:p>
      <w:r>
        <w:rPr>
          <w:color w:val="555555"/>
          <w:sz w:val="18"/>
        </w:rPr>
        <w:t xml:space="preserve">Bundesberggesetz</w:t>
      </w:r>
    </w:p>
    <w:p>
      <w:r>
        <w:rPr>
          <w:color w:val="555555"/>
          <w:sz w:val="18"/>
        </w:rPr>
        <w:t xml:space="preserve">Stand: 10.06.2019 (konsolidierte Textfassung, kein amtliches Inkrafttretensdatum)</w:t>
      </w:r>
    </w:p>
    <w:p>
      <w:r>
        <w:t xml:space="preserve">(1) Bei der Festsetzung der Entschädigung bleiben folgende Wertänderungen unberücksichtigt:</w:t>
      </w:r>
    </w:p>
    <w:p>
      <w:pPr>
        <w:ind w:left="420"/>
      </w:pPr>
      <w:r>
        <w:t xml:space="preserve">1. Werterhöhungen, die ausschließlich infolge des Gewinnungs- oder Aufbereitungsbetriebes eingetreten sind, zu dessen Gunsten die Grundabtretung durchgeführt wird,</w:t>
      </w:r>
    </w:p>
    <w:p>
      <w:pPr>
        <w:ind w:left="420"/>
      </w:pPr>
      <w:r>
        <w:t xml:space="preserve">2. Wertänderungen, die infolge der bevorstehenden Grundabtretung eingetreten sind,</w:t>
      </w:r>
    </w:p>
    <w:p>
      <w:pPr>
        <w:ind w:left="420"/>
      </w:pPr>
      <w:r>
        <w:t xml:space="preserve">3. Werterhöhungen, die nach dem Zeitpunkt eingetreten sind, in dem der Eigentümer oder sonstige Berechtigte zur Vermeidung der Grundabtretung ein Kauf- oder Tauschangebot im Sinne des § 79 Abs. 2 Nr. 1 Buchstabe a oder ein Angebot zum Abschluß einer Vereinbarung im Sinne des § 79 Abs. 2 Nr. 1 Buchstabe b mit angemessenen Bedingungen hätte annehmen können, es sei denn, daß er Kapital oder Arbeit für die Werterhöhung aufgewendet hat,</w:t>
      </w:r>
    </w:p>
    <w:p>
      <w:pPr>
        <w:ind w:left="420"/>
      </w:pPr>
      <w:r>
        <w:t xml:space="preserve">4. wertsteigernde Veränderungen, die ohne die erforderliche behördliche Anordnung, Genehmigung, Zulassung, Zustimmung, Erlaubnis oder Bewilligung vorgenommen worden sind, es sei denn, daß sie ausschließlich der Erhaltung oder ordnungsgemäßen Bewirtschaftung gedient haben.</w:t>
      </w:r>
    </w:p>
    <w:p>
      <w:r>
        <w:t xml:space="preserve">(2) Für bauliche Anlagen, deren Abbruch jederzeit auf Grund öffentlich-rechtlicher Vorschriften entschädigungslos gefordert werden kann, ist eine Entschädigung nur zu gewähren, wenn es aus Gründen der Billigkeit geboten ist. Kann der Abbruch entschädigungslos erst nach Ablauf einer Frist gefordert werden, so ist die Entschädigung nach dem Verhältnis der restlichen zu der gesamten Frist zu bemessen.</w:t>
      </w:r>
    </w:p>
    <w:p>
      <w:r>
        <w:t xml:space="preserve">(3) Wird der Wert des Eigentums an dem abzutretenden Grundstück durch Rechte Dritter gemindert, die aufrechterhalten oder gesondert entschädigt werden, so ist dies bei der Festsetzung der Entschädigung für das Eigentum an dem Grundstück zu berücksichtigen.</w:t>
      </w:r>
    </w:p>
    <w:p>
      <w:r>
        <w:t xml:space="preserve">(4) Eine Vereinbarung, die mit Rücksicht auf ein in Vorbereitung befindliches Grundabtretungsverfahren oder die nach Einleitung des Grundabtretungsverfahrens getroffen wird und die einen Dritten zum Gebrauch oder zur Nutzung des Gegenstandes der Grundabtretung berechtigt, bleibt bei der Festsetzung der Entschädigung insoweit unberücksichtigt, als sie von üblichen Vereinbarungen in vergleichbaren, nicht von einer Grundabtretung betroffenen Fällen auffällig abweicht und Tatsachen die Annahme rechtfertigen, daß sie getroffen worden ist, um eine Entschädigung zu erlangen.</w:t>
      </w:r>
    </w:p>
    <w:p>
      <w:r>
        <w:t xml:space="preserve">(5) Ist eine Veränderung an dem Gegenstand der Grundabtretung, die nach Einleitung des Grundabtretungsverfahrens ohne Zustimmung der zuständigen Behörde vorgenommen wird, für dessen neuen Verwendungszweck nachteilig und war dieser Umstand dem Grundabtretungspflichtigen, der die Veränderung vorgenommen hat, bekannt, so kann die zuständige Behörde auf Antrag des Grundabtretungsbegünstigten die Wiederherstellung des früheren Zustandes anordnen.</w:t>
      </w:r>
    </w:p>
    <w:p>
      <w:r>
        <w:rPr>
          <w:color w:val="555555"/>
          <w:sz w:val="17"/>
        </w:rPr>
        <w:t xml:space="preserve">Zitiervorschlag: § 90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https://recht.nulegal.eu/gesetze/BBergG/90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