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BBergG — Entschädigungsleistung</w:t>
      </w:r>
    </w:p>
    <w:p>
      <w:r>
        <w:rPr>
          <w:color w:val="555555"/>
          <w:sz w:val="18"/>
        </w:rPr>
        <w:t xml:space="preserve">Bundesberggesetz</w:t>
      </w:r>
    </w:p>
    <w:p>
      <w:r>
        <w:rPr>
          <w:color w:val="555555"/>
          <w:sz w:val="18"/>
        </w:rPr>
        <w:t xml:space="preserve">Stand: 10.06.2019 (konsolidierte Textfassung, kein amtliches Inkrafttretensdatum)</w:t>
      </w:r>
    </w:p>
    <w:p>
      <w:r>
        <w:t xml:space="preserve">(1) Wird im Wege der Grundabtretung ein Nutzungsrecht begründet oder dem Eigentümer oder sonstigen Nutzungsberechtigten eine mit einem dauernden Nutzungsausfall verbundene Beschränkung oder ein anderer sich ständig erneuernder Nachteil auferlegt, so ist die Entschädigung in wiederkehrenden Leistungen zu entrichten. Werden hierdurch die zu entschädigenden Vermögensnachteile nicht abgegolten, so ist insoweit die Entschädigung in einem einmaligen Betrag zu leisten.</w:t>
      </w:r>
    </w:p>
    <w:p>
      <w:r>
        <w:t xml:space="preserve">(2) Entstehen einem Entschädigungsberechtigten durch die Grundabtretung Vermögensnachteile, die sich im Zeitpunkt der Entscheidung über die Grundabtretung nicht abschätzen lassen, so ist auf Antrag des Entschädigungsberechtigten eine Ergänzungsentschädigung festzusetzen. Der Antrag ist nur zulässig, wenn der Entschädigungsberechtigte nachweist, daß er sich ernsthaft um eine Einigung über die Ergänzungsentschädigung bemüht hat. Die Ergänzungsentschädigung darf nur für die Zeit nach Antragstellung festgesetzt werden.</w:t>
      </w:r>
    </w:p>
    <w:p>
      <w:r>
        <w:t xml:space="preserve">(3) Ist die Entschädigung nach Absatz 1 Satz 1 in wiederkehrenden Leistungen zu entrichten und tritt eine wesentliche Änderung der Verhältnisse ein, die für die Bemessung der Höhe der Leistungen maßgebend waren, so ist auf Antrag des Entschädigungsberechtigten oder des Entschädigungsverpflichteten die Höhe der wiederkehrenden Leistungen neu festzusetzen; Absatz 2 Satz 2 und 3 gilt entsprechend.</w:t>
      </w:r>
    </w:p>
    <w:p>
      <w:r>
        <w:t xml:space="preserve">(4) Lassen sich im Zeitpunkt der Entscheidung über die Grundabtretung Vermögensnachteile nicht abschätzen, so kann die zuständige Behörde auf Antrag des Entschädigungsberechtigten anordnen, daß der Entschädigungspflichtige Sicherheit zu leisten hat. Über die Freigabe einer Sicherheit entscheidet die zuständige Behörde.</w:t>
      </w:r>
    </w:p>
    <w:p>
      <w:r>
        <w:rPr>
          <w:color w:val="555555"/>
          <w:sz w:val="17"/>
        </w:rPr>
        <w:t xml:space="preserve">Zitiervorschlag: § 89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