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BBergG — Schuldübergang bei Entziehung des Eigentums an Grundstücken</w:t>
      </w:r>
    </w:p>
    <w:p>
      <w:r>
        <w:rPr>
          <w:color w:val="555555"/>
          <w:sz w:val="18"/>
        </w:rPr>
        <w:t xml:space="preserve">Bundesberggesetz</w:t>
      </w:r>
    </w:p>
    <w:p>
      <w:r>
        <w:rPr>
          <w:color w:val="555555"/>
          <w:sz w:val="18"/>
        </w:rPr>
        <w:t xml:space="preserve">Stand: 10.06.2019 (konsolidierte Textfassung, kein amtliches Inkrafttretensdatum)</w:t>
      </w:r>
    </w:p>
    <w:p>
      <w:r>
        <w:t xml:space="preserve">Wird das Eigentum an einem Grundstück entzogen und haftet bei einem Grundpfandrecht, das aufrechterhalten wird, der Grundabtretungspflichtige zugleich persönlich, so übernimmt der Grundabtretungsbegünstigte an seiner Stelle die Schuld bis zur Höhe des Grundpfandrechts, jedoch nicht über den Verkehrswert des Grundstücks hinaus.</w:t>
      </w:r>
    </w:p>
    <w:p>
      <w:r>
        <w:rPr>
          <w:color w:val="555555"/>
          <w:sz w:val="17"/>
        </w:rPr>
        <w:t xml:space="preserve">Zitiervorschlag: § 88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