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BBergG — Entschädigungsgrundsätze</w:t>
      </w:r>
    </w:p>
    <w:p>
      <w:r>
        <w:rPr>
          <w:color w:val="555555"/>
          <w:sz w:val="18"/>
        </w:rPr>
        <w:t xml:space="preserve">Bundesberggesetz</w:t>
      </w:r>
    </w:p>
    <w:p>
      <w:r>
        <w:rPr>
          <w:color w:val="555555"/>
          <w:sz w:val="18"/>
        </w:rPr>
        <w:t xml:space="preserve">Stand: 10.06.2019 (konsolidierte Textfassung, kein amtliches Inkrafttretensdatum)</w:t>
      </w:r>
    </w:p>
    <w:p>
      <w:r>
        <w:t xml:space="preserve">(1) Für die Grundabtretung ist eine Entschädigung zu leisten.</w:t>
      </w:r>
    </w:p>
    <w:p>
      <w:r>
        <w:t xml:space="preserve">(2) Die Entschädigung wird gewährt für</w:t>
      </w:r>
    </w:p>
    <w:p>
      <w:pPr>
        <w:ind w:left="420"/>
      </w:pPr>
      <w:r>
        <w:t xml:space="preserve">1. den durch die Grundabtretung eintretenden Rechtsverlust,</w:t>
      </w:r>
    </w:p>
    <w:p>
      <w:pPr>
        <w:ind w:left="420"/>
      </w:pPr>
      <w:r>
        <w:t xml:space="preserve">2. andere durch die Grundabtretung eintretende Vermögensnachteile.</w:t>
      </w:r>
    </w:p>
    <w:p>
      <w:r>
        <w:t xml:space="preserve">(3) Entschädigung kann verlangen, wer in seinem Recht durch die Grundabtretung beeinträchtigt wird und dadurch einen Vermögensnachteil erleidet (Entschädigungsberechtigter). Zur Leistung der Entschädigung ist der Grundabtretungsbegünstigte verpflichtet (Entschädigungsverpflichteter).</w:t>
      </w:r>
    </w:p>
    <w:p>
      <w:r>
        <w:t xml:space="preserve">(4) Die Entschädigung ist in Geld festzusetzen. Sie ist in einem einmaligen Betrag zu leisten, soweit in § 89 nichts anderes bestimmt ist. Einmalige Entschädigungsbeträge sind mit zwei vom Hundert über dem Basiszinssatz nach § 247 des Bürgerlichen Gesetzbuchs jährlich von dem Zeitpunkt an zu verzinsen, in dem die zuständige Behörde über den Grundabtretungsantrag entscheidet. Im Falle der vorzeitigen Besitzeinweisung ist der Zeitpunkt maßgebend, in dem diese wirksam wird. Die Sätze 1 bis 4 gelten nicht, soweit sich der Entschädigungsberechtigte und der Entschädigungsverpflichtete über eine andere Art der Entschädigung einigen.</w:t>
      </w:r>
    </w:p>
    <w:p>
      <w:r>
        <w:t xml:space="preserve">(5) Für die Bemessung der Entschädigung ist der Zustand des Gegenstandes der Grundabtretung in dem Zeitpunkt maßgebend, in dem die zuständige Behörde über den Grundabtretungsantrag entscheidet. In den Fällen der vorzeitigen Besitzeinweisung ist der Zustand in dem Zeitpunkt maßgebend, in dem diese wirksam wird.</w:t>
      </w:r>
    </w:p>
    <w:p>
      <w:r>
        <w:rPr>
          <w:color w:val="555555"/>
          <w:sz w:val="17"/>
        </w:rPr>
        <w:t xml:space="preserve">Zitiervorschlag: § 84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