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BBergG — Umfang der Grundabtretung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Grundabtretung darf nur in dem Umfang durchgeführt werden, in dem sie zur Verwirklichung des Grundabtretungszweckes erforderlich ist. Die Frist, innerhalb der der Grundabtretungszweck verwirklicht werden muß, ist von der zuständigen Behörde festzusetzen.</w:t>
      </w:r>
    </w:p>
    <w:p>
      <w:r>
        <w:t xml:space="preserve">(2) Die Entziehung des Eigentums an Grundstücken ist nur zulässig, wenn</w:t>
      </w:r>
    </w:p>
    <w:p>
      <w:pPr>
        <w:ind w:left="420"/>
      </w:pPr>
      <w:r>
        <w:t xml:space="preserve">1. die Grundstücke bebaut sind oder mit bebauten Grundstücken in unmittelbarem räumlichem Zusammenhang stehen und eingefriedet sind,</w:t>
      </w:r>
    </w:p>
    <w:p>
      <w:pPr>
        <w:ind w:left="420"/>
      </w:pPr>
      <w:r>
        <w:t xml:space="preserve">2. im Zeitpunkt der Grundabtretung damit zu rechnen ist, daß die Grundstücke auf Grund behördlich angeordneter Maßnahmen zur Wiedernutzbarmachung der Oberfläche eine Wertsteigerung erfahren werden oder</w:t>
      </w:r>
    </w:p>
    <w:p>
      <w:pPr>
        <w:ind w:left="420"/>
      </w:pPr>
      <w:r>
        <w:t xml:space="preserve">3. der Eigentümer die Entziehung des Eigentums nach § 82 verlangt.</w:t>
      </w:r>
    </w:p>
    <w:p>
      <w:r>
        <w:t xml:space="preserve">Reicht in den in Satz 1 Nr. 1 genannten Fällen die Belastung des Eigentums an Grundstücken mit einem dinglichen Nutzungsrecht zur Verwirklichung des Grundabtretungszweckes aus, so ist die Grundabtretung hierauf zu beschränken. In den Fällen des Satzes 1 Nr. 2 ist die Entziehung des Eigentums nicht zulässig, wenn der Eigentümer sich verpflichtet, nach Beendigung der Benutzung des Grundstücks die durch die Maßnahme zur Wiedernutzbarmachung der Oberfläche eingetretene Werterhöhung in Geld auszugleichen.</w:t>
      </w:r>
    </w:p>
    <w:p>
      <w:r>
        <w:t xml:space="preserve">(3) Der Grundabtretungsbegünstigte ist, soweit nicht die Entziehung des Eigentums an einem Grundstück oder einer in § 82 Abs. 5 bezeichneten Sache Gegenstand der Grundabtretung ist, verpflichtet, nach Beendigung der Benutzung der abgetretenen Sachen zu dem vorgesehenen Zweck oder, wenn das Grundstück danach einem Zweck zugeführt wird, der eine Grundabtretung rechtfertigen würde, nach Beendigung der Benutzung zu diesem Zweck,</w:t>
      </w:r>
    </w:p>
    <w:p>
      <w:pPr>
        <w:ind w:left="420"/>
      </w:pPr>
      <w:r>
        <w:t xml:space="preserve">1. den Zustand des Grundstücks oder der Sachen in dem Zeitpunkt des Wirksamwerdens der Grundabtretung wiederherzustellen, es sei denn, daß die Wiederherstellung mit unzumutbaren Aufwendungen verbunden oder eine vom früheren Zustand abweichende Anordnung der zuständigen Behörde zur Wiedernutzbarmachung der Oberfläche erlassen worden ist und</w:t>
      </w:r>
    </w:p>
    <w:p>
      <w:pPr>
        <w:ind w:left="420"/>
      </w:pPr>
      <w:r>
        <w:t xml:space="preserve">2. den abgetretenen Gegenstand dem betroffenen Grundabtretungspflichtigen wieder zur Verfügung zu stellen.</w:t>
      </w:r>
    </w:p>
    <w:p>
      <w:r>
        <w:rPr>
          <w:color w:val="555555"/>
          <w:sz w:val="17"/>
        </w:rPr>
        <w:t xml:space="preserve">Zitiervorschlag: § 81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