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80 BBergG — Grundabtretungsbegünstigter und -pflichtiger</w:t>
      </w:r>
    </w:p>
    <w:p>
      <w:r>
        <w:rPr>
          <w:color w:val="555555"/>
          <w:sz w:val="18"/>
        </w:rPr>
        <w:t xml:space="preserve">Bundesberggesetz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Grundabtretungsbegünstigter ist der Unternehmer, für dessen Vorhaben ein Grundabtretungsverfahren durchgeführt wird.</w:t>
      </w:r>
    </w:p>
    <w:p>
      <w:r>
        <w:t xml:space="preserve">(2) Grundabtretungspflichtige sind der Eigentümer des von der Grundabtretung betroffenen Grundstücks oder sonstigen Gegenstandes und die Inhaber der Rechte, die entzogen, übertragen, geändert, belastet oder sonst beschränkt werden sollen.</w:t>
      </w:r>
    </w:p>
    <w:p>
      <w:r>
        <w:t xml:space="preserve">(3) Nebenberechtigte sind die Personen, denen dingliche oder persönliche Rechte am oder in bezug auf den Gegenstand der Grundabtretung zustehen.</w:t>
      </w:r>
    </w:p>
    <w:p>
      <w:r>
        <w:rPr>
          <w:color w:val="555555"/>
          <w:sz w:val="17"/>
        </w:rPr>
        <w:t xml:space="preserve">Zitiervorschlag: § 80 BBergG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https://recht.nulegal.eu/gesetze/BBergG/80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