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BBergG — Gegenstand der Grundabtretung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Grundabtretung können</w:t>
      </w:r>
    </w:p>
    <w:p>
      <w:pPr>
        <w:ind w:left="420"/>
      </w:pPr>
      <w:r>
        <w:t xml:space="preserve">1. das Eigentum einschließlich aus § 34 sich ergebender Befugnisse, der Besitz und dingliche Rechte an Grundstücken,</w:t>
      </w:r>
    </w:p>
    <w:p>
      <w:pPr>
        <w:ind w:left="420"/>
      </w:pPr>
      <w:r>
        <w:t xml:space="preserve">2. persönliche Rechte, die zum Erwerb, zum Besitz oder zur Nutzung von Grundstücken berechtigen oder deren Benutzung beschränken,</w:t>
      </w:r>
    </w:p>
    <w:p>
      <w:r>
        <w:t xml:space="preserve">entzogen, übertragen, geändert, mit einem dinglichen Recht belastet oder sonst beschränkt werden.</w:t>
      </w:r>
    </w:p>
    <w:p>
      <w:r>
        <w:rPr>
          <w:color w:val="555555"/>
          <w:sz w:val="17"/>
        </w:rPr>
        <w:t xml:space="preserve">Zitiervorschlag: § 78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