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BBergG — Anlegung und Führung des Berechtsamsbuchs und der Berechtsamskarte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zuständigen Behörde werden ein Berechtsamsbuch und eine Berechtsamskarte angelegt und geführt.</w:t>
      </w:r>
    </w:p>
    <w:p>
      <w:r>
        <w:t xml:space="preserve">(2) In das Berechtsamsbuch sind einzutragen</w:t>
      </w:r>
    </w:p>
    <w:p>
      <w:pPr>
        <w:ind w:left="420"/>
      </w:pPr>
      <w:r>
        <w:t xml:space="preserve">1. Erlaubnisse, Bewilligungen, Bergwerkseigentum und nach § 149 aufrechterhaltene Bergbauberechtigungen,</w:t>
      </w:r>
    </w:p>
    <w:p>
      <w:pPr>
        <w:ind w:left="420"/>
      </w:pPr>
      <w:r>
        <w:t xml:space="preserve">2. Änderungen der in Nummer 1 genannten Bergbauberechtigungen durch Vereinigung, Teilung, Austausch oder Zulegung.</w:t>
      </w:r>
    </w:p>
    <w:p>
      <w:r>
        <w:t xml:space="preserve">(3) In der Berechtsamskarte sind einzutragen</w:t>
      </w:r>
    </w:p>
    <w:p>
      <w:pPr>
        <w:ind w:left="420"/>
      </w:pPr>
      <w:r>
        <w:t xml:space="preserve">1. die Felder, auf sie sich die in Absatz 2 Nr. 1 genannten Bergbauberechtigungen beziehen,</w:t>
      </w:r>
    </w:p>
    <w:p>
      <w:pPr>
        <w:ind w:left="420"/>
      </w:pPr>
      <w:r>
        <w:t xml:space="preserve">2. die Veränderungen der Felder, die sich aus den in Absatz 2 Nr. 2 genannten Änderungen ergeben,</w:t>
      </w:r>
    </w:p>
    <w:p>
      <w:pPr>
        <w:ind w:left="420"/>
      </w:pPr>
      <w:r>
        <w:t xml:space="preserve">3. Baubeschränkungsgebiete.</w:t>
      </w:r>
    </w:p>
    <w:p>
      <w:r>
        <w:t xml:space="preserve">(4) Die Eintragungen in das Berechtsamsbuch und die Berechtsamskarte werden von Amts wegen vorgenommen.</w:t>
      </w:r>
    </w:p>
    <w:p>
      <w:r>
        <w:t xml:space="preserve">(5) Erloschene Bergbauberechtigungen sind im Berechtsamsbuch zu löschen. Auf der Berechtsamskarte ist das Erlöschen in geeigneter Weise zu kennzeichnen.</w:t>
      </w:r>
    </w:p>
    <w:p>
      <w:r>
        <w:rPr>
          <w:color w:val="555555"/>
          <w:sz w:val="17"/>
        </w:rPr>
        <w:t xml:space="preserve">Zitiervorschlag: § 75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