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BBergG — Erlaß von Bergverordnungen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Bergverordnungen auf Grund der §§ 65 bis 67 werden, soweit sich aus Absatz 2 nichts anderes ergibt, von den Landesregierungen erlassen. Diese können die Ermächtigung durch Rechtsverordnung auf andere Stellen übertragen.</w:t>
      </w:r>
    </w:p>
    <w:p>
      <w:r>
        <w:t xml:space="preserve">(2) Das Bundesministerium für Wirtschaft und Energie erläßt Bergverordnungen,</w:t>
      </w:r>
    </w:p>
    <w:p>
      <w:pPr>
        <w:ind w:left="420"/>
      </w:pPr>
      <w:r>
        <w:t xml:space="preserve">1. soweit sie auf Grund des § 65 Satz 1 Nr. 3, 6 und 5 in Verbindung mit Nr. 3, des § 65 Satz 2, des § 66 Satz 1 Nr. 4 Buchstabe a, b, d und e und des § 67 ergehen,</w:t>
      </w:r>
    </w:p>
    <w:p>
      <w:pPr>
        <w:ind w:left="420"/>
      </w:pPr>
      <w:r>
        <w:t xml:space="preserve">2. soweit sie Tätigkeiten im Sinne des § 2 im Bereich des Festlandsockels betreffen und</w:t>
      </w:r>
    </w:p>
    <w:p>
      <w:pPr>
        <w:ind w:left="420"/>
      </w:pPr>
      <w:r>
        <w:t xml:space="preserve">3. soweit für gleichartige Verhältnisse der Schutz der in den §§ 65 bis 67 bezeichneten Rechtsgüter und Belange durch Bergverordnungen nach Absatz 1 nicht gleichwertig sichergestellt wird oder soweit Rechtsakte des Rates oder der Kommission der Europäischen Gemeinschaften oder Beschlüsse internationaler Organisationen oder zwischenstaatliche Vereinbarungen, die Gegenstände dieses Gesetzes betreffen, durchgeführt werden.</w:t>
      </w:r>
    </w:p>
    <w:p>
      <w:r>
        <w:t xml:space="preserve">(3) Bergverordnungen nach Absatz 2 ergehen mit Zustimmung des Bundesrates und</w:t>
      </w:r>
    </w:p>
    <w:p>
      <w:pPr>
        <w:ind w:left="420"/>
      </w:pPr>
      <w:r>
        <w:t xml:space="preserve">1. Bergverordnungen auf Grund der §§ 65 und 66 Satz 1 Nr. 1, 2, 4 bis 7, 9 und 10 und Satz 3 im Einvernehmen mit dem Bundesministerium für Arbeit und Soziales, soweit sie Fragen des Arbeitsschutzes betreffen,</w:t>
      </w:r>
    </w:p>
    <w:p>
      <w:pPr>
        <w:ind w:left="420"/>
      </w:pPr>
      <w:r>
        <w:t xml:space="preserve">2. Bergverordnungen auf Grund des § 66 Satz 1 Nr. 1 Buchstabe a und Nr. 8 im Einvernehmen mit den Bundesministerien für Umwelt, Naturschutz und nukleare Sicherheit und für Verkehr und digitale Infrastruktur,</w:t>
      </w:r>
    </w:p>
    <w:p>
      <w:pPr>
        <w:ind w:left="420"/>
      </w:pPr>
      <w:r>
        <w:t xml:space="preserve">3. Bergverordnungen auf Grund des § 66 Satz 1 Nr. 3 sowie alle anderen Bergverordnungen, soweit sie Tätigkeiten im Sinne des § 2 Abs. 1 im Bereich des Festlandsockels und der Küstengewässer betreffen, im Einvernehmen mit dem Bundesministerium für Verkehr und digitale Infrastruktur.</w:t>
      </w:r>
    </w:p>
    <w:p>
      <w:r>
        <w:t xml:space="preserve">(4) In den Bergverordnungen kann wegen technischer Anforderungen auf Bekanntmachungen sachverständiger Stellen unter Angabe der Fundstelle verwiesen werden.</w:t>
      </w:r>
    </w:p>
    <w:p>
      <w:r>
        <w:rPr>
          <w:color w:val="555555"/>
          <w:sz w:val="17"/>
        </w:rPr>
        <w:t xml:space="preserve">Zitiervorschlag: § 68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