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BBergG — Technische und statistische Unterlagen, Markscheidewesen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es zur Durchführung der Bergaufsicht, der Vorschriften über Erteilung, Verleihung und Aufrechterhaltung von Bergbauberechtigungen und zum Schutze der in § 11 Nr. 8 und 9 oder § 66 genannten Rechtsgüter und Belange oder im Fall von Nummer 7 zur Regelung der Festlegung von Einwirkungsbereichen, erforderlich ist, kann durch Rechtsverordnung (Bergverordnung) bestimmt werden,</w:t>
      </w:r>
    </w:p>
    <w:p>
      <w:pPr>
        <w:ind w:left="420"/>
      </w:pPr>
      <w:r>
        <w:t xml:space="preserve">1. daß bestimmte rißliche und sonstige zeichnerische Darstellungen über Tätigkeiten im Sinne des § 2 Abs. 1 Nr. 1 und 2 und über Einrichtungen im Sinne des § 2 Abs. 1 Nr. 3 einzureichen und nachzutragen, daß bestimmte Listen, Bücher und Statistiken über Beschäftigte und betriebliche Vorgänge zu führen und vorzulegen, Anzeigen zu erstatten und den Anzeigen bestimmte Unterlagen beizufügen sind,</w:t>
      </w:r>
    </w:p>
    <w:p>
      <w:pPr>
        <w:ind w:left="420"/>
      </w:pPr>
      <w:r>
        <w:t xml:space="preserve">2. unter welchen Voraussetzungen eine Person im Sinne des § 64 Abs. 1 Satz 2 anerkannt werden kann,</w:t>
      </w:r>
    </w:p>
    <w:p>
      <w:pPr>
        <w:ind w:left="420"/>
      </w:pPr>
      <w:r>
        <w:t xml:space="preserve">3. welche Anforderungen an die Geschäftsführung von Markscheidern einschließlich der technischen Ausstattung zu stellen sind,</w:t>
      </w:r>
    </w:p>
    <w:p>
      <w:pPr>
        <w:ind w:left="420"/>
      </w:pPr>
      <w:r>
        <w:t xml:space="preserve">4. welchen Anforderungen markscheiderische und sonstige vermessungstechnische Arbeiten genügen müssen,</w:t>
      </w:r>
    </w:p>
    <w:p>
      <w:pPr>
        <w:ind w:left="420"/>
      </w:pPr>
      <w:r>
        <w:t xml:space="preserve">5. welche Risse, Karten, Pläne und Unterlagen zum Rißwerk gehören und in welchen Zeitabständen das Rißwerk nachzutragen ist,</w:t>
      </w:r>
    </w:p>
    <w:p>
      <w:pPr>
        <w:ind w:left="420"/>
      </w:pPr>
      <w:r>
        <w:t xml:space="preserve">6. für welche Arten von Betrieben unter welchen Voraussetzungen der Unternehmer zur Anfertigung eines Rißwerks verpflichtet ist,</w:t>
      </w:r>
    </w:p>
    <w:p>
      <w:pPr>
        <w:ind w:left="420"/>
      </w:pPr>
      <w:r>
        <w:t xml:space="preserve">7. in welcher Weise der Bereich festzulegen ist, in dem durch einen Bergbaubetrieb oder sonstige Tätigkeiten nach den §§ 126 bis 129 auf die Oberfläche eingewirkt werken kann (Einwirkungsbereich),</w:t>
      </w:r>
    </w:p>
    <w:p>
      <w:pPr>
        <w:ind w:left="420"/>
      </w:pPr>
      <w:r>
        <w:t xml:space="preserve">8. daß und für welchen Zeitraum die Unterlagen, Darstellungen, Listen, Bücher und Statistiken aufzubewahren sind.</w:t>
      </w:r>
    </w:p>
    <w:p>
      <w:r>
        <w:rPr>
          <w:color w:val="555555"/>
          <w:sz w:val="17"/>
        </w:rPr>
        <w:t xml:space="preserve">Zitiervorschlag: § 67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