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BBergG — Anzeige, Genehmigung, allgemeine Zulassung, Prüfung</w:t>
      </w:r>
    </w:p>
    <w:p>
      <w:r>
        <w:rPr>
          <w:color w:val="555555"/>
          <w:sz w:val="18"/>
        </w:rPr>
        <w:t xml:space="preserve">Bundesberggesetz</w:t>
      </w:r>
    </w:p>
    <w:p>
      <w:r>
        <w:rPr>
          <w:color w:val="555555"/>
          <w:sz w:val="18"/>
        </w:rPr>
        <w:t xml:space="preserve">Stand: 10.06.2019 (konsolidierte Textfassung, kein amtliches Inkrafttretensdatum)</w:t>
      </w:r>
    </w:p>
    <w:p>
      <w:r>
        <w:t xml:space="preserve">Zum Schutze der in § 55 Abs. 1 Satz 1 Nr. 3 und 4 bezeichneten Rechtsgüter und Belange kann, soweit im Hinblick auf eine ordnungsgemäße und sichere Führung der Betriebe eine Vereinfachung oder Entlastung bei der Zulassung von Betriebsplänen notwendig oder zweckmäßig ist, durch Rechtsverordnung (Bergverordnung) bestimmt werden,</w:t>
      </w:r>
    </w:p>
    <w:p>
      <w:pPr>
        <w:ind w:left="420"/>
      </w:pPr>
      <w:r>
        <w:t xml:space="preserve">1. daß bestimmte Arbeiten sowie die Errichtung, Herstellung und Inbetriebnahme bestimmter Einrichtungen, die Vornahme von Änderungen und sonstige sie betreffende Umstände anzuzeigen und welche Unterlagen den Anzeigen beizufügen sind,</w:t>
      </w:r>
    </w:p>
    <w:p>
      <w:pPr>
        <w:ind w:left="420"/>
      </w:pPr>
      <w:r>
        <w:t xml:space="preserve">2. daß bestimmte Arbeiten sowie die Errichtung oder Herstellung bestimmter Einrichtungen, ihr Betrieb und die Vornahme von Änderungen unter Befreiung von der Betriebsplanpflicht einer Genehmigung bedürfen,</w:t>
      </w:r>
    </w:p>
    <w:p>
      <w:pPr>
        <w:ind w:left="420"/>
      </w:pPr>
      <w:r>
        <w:t xml:space="preserve">3. daß nach einer Bauart- oder Eignungsprüfung durch eine in der Bergverordnung zu bezeichnende Stelle oder durch einen von der zuständigen Behörde anerkannten Sachverständigen bestimmte Einrichtungen und Stoffe allgemein zugelassen werden können, welche Anzeigen bei allgemeiner Zulassung zu erstatten und welche Unterlagen diesen Anzeigen beizufügen sind,</w:t>
      </w:r>
    </w:p>
    <w:p>
      <w:pPr>
        <w:ind w:left="420"/>
      </w:pPr>
      <w:r>
        <w:t xml:space="preserve">4. daß bestimmte Einrichtungen einer Prüfung oder Abnahme vor ihrer Inbetriebnahme und nach Instandsetzung, regelmäßig wiederkehrenden Prüfungen und Prüfungen auf Grund einer Anordnung der zuständigen Behörde durch eine in der Bergverordnung zu bezeichnende Stelle, durch eine besonders zu bestimmende verantwortliche Person oder durch einen von der zuständigen Behörde anerkannten Sachverständigen unterliegen,</w:t>
      </w:r>
    </w:p>
    <w:p>
      <w:pPr>
        <w:ind w:left="420"/>
      </w:pPr>
      <w:r>
        <w:t xml:space="preserve">5. daß Genehmigungen und allgemeine Zulassungen im Sinne der Nummern 2 und 3 von bestimmten persönlichen und sachlichen Voraussetzungen abhängig zu machen sind,</w:t>
      </w:r>
    </w:p>
    <w:p>
      <w:pPr>
        <w:ind w:left="420"/>
      </w:pPr>
      <w:r>
        <w:t xml:space="preserve">6. daß die Anerkennung einer Person oder Stelle als Sachverständiger im Sinne der Nummern 3 und 4 von bestimmten persönlichen und sachlichen Voraussetzungen abhängig zu machen, insbesondere welche Anforderungen an die Ausbildung, die beruflichen Kenntnisse und Fähigkeiten, an Zuverlässigkeit und Unparteilichkeit zu stellen sind und welche Voraussetzungen im Hinblick auf die technische Ausstattung und auf die Zusammenarbeit verschiedener Sachverständiger oder Stellen erfüllt werden müssen. Zur Durchführung von Rechtsakten des Rats oder der Kommission der Europäischen Gemeinschaften können durch Rechtsverordnung (Bergverordnung) für Einrichtungen und Stoffe über Satz 1 hinaus und auch zum Schutz anderer als der dort genannten Rechtsgüter sicherheitstechnische Beschaffenheitsanforderungen und sonstige Voraussetzungen des Inverkehrbringens und der bestimmungsgemäßen Verwendung, insbesondere Prüfungen, Produktionsüberwachung, Bescheinigungen, Kennzeichnung, Aufbewahrungs- und Mitteilungspflichten, sowie behördliche Maßnahmen geregelt werden.</w:t>
      </w:r>
    </w:p>
    <w:p>
      <w:r>
        <w:rPr>
          <w:color w:val="555555"/>
          <w:sz w:val="17"/>
        </w:rPr>
        <w:t xml:space="preserve">Zitiervorschlag: § 65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