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BBergG — Markscheider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für untertägige Aufsuchungs- oder Gewinnungsbetriebe vorgeschriebene Rißwerk muß von einem von der zuständigen Behörde anerkannten Markscheider angefertigt und nachgetragen werden. Für andere Betriebe vorgeschriebene sonstige Unterlagen im Sinne des § 63 Abs. 2 Satz 1 Nr. 2 können auch von anderen Personen, die von der zuständigen Behörde dafür anerkannt sind, angefertigt und nachgetragen werden.</w:t>
      </w:r>
    </w:p>
    <w:p>
      <w:r>
        <w:t xml:space="preserve">(2) Die Markscheider sind bei Anwendung ihrer Fachkunde weisungsfrei. Der Markscheider ist befugt, innerhalb seines Geschäftskreises Tatsachen mit öffentlichem Glauben zu beurkunden.</w:t>
      </w:r>
    </w:p>
    <w:p>
      <w:r>
        <w:t xml:space="preserve">(3) Die Länder können Vorschriften über die Voraussetzungen erlassen, unter denen eine Person als Markscheider tätig werden kann.</w:t>
      </w:r>
    </w:p>
    <w:p>
      <w:r>
        <w:rPr>
          <w:color w:val="555555"/>
          <w:sz w:val="17"/>
        </w:rPr>
        <w:t xml:space="preserve">Zitiervorschlag: § 64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