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BBergG — Personenkreis</w:t>
      </w:r>
    </w:p>
    <w:p>
      <w:r>
        <w:rPr>
          <w:color w:val="555555"/>
          <w:sz w:val="18"/>
        </w:rPr>
        <w:t xml:space="preserve">Bundesberggesetz</w:t>
      </w:r>
    </w:p>
    <w:p>
      <w:r>
        <w:rPr>
          <w:color w:val="555555"/>
          <w:sz w:val="18"/>
        </w:rPr>
        <w:t xml:space="preserve">Stand: 10.06.2019 (konsolidierte Textfassung, kein amtliches Inkrafttretensdatum)</w:t>
      </w:r>
    </w:p>
    <w:p>
      <w:r>
        <w:t xml:space="preserve">(1) Verantwortlich für die Erfüllung der Pflichten, die sich aus diesem Gesetz, den auf Grund der §§ 65 bis 67 erlassenen oder nach § 176 Abs. 3 aufrechterhaltenen Bergverordnungen, aus Verwaltungsakten und aus zugelassenen Betriebsplänen für die ordnungsgemäße Errichtung, Führung und Einstellung eines Betriebes ergeben (verantwortliche Personen), sind, soweit dieses Gesetz oder eine auf Grund dieses Gesetzes erlassene Rechtsverordnung nichts anderes bestimmt,</w:t>
      </w:r>
    </w:p>
    <w:p>
      <w:pPr>
        <w:ind w:left="420"/>
      </w:pPr>
      <w:r>
        <w:t xml:space="preserve">1. der Unternehmer, bei juristischen Personen und Personenhandelsgesellschaften die nach Gesetz, Satzung oder Gesellschaftsvertrag zur Vertretung berechtigten Personen, und</w:t>
      </w:r>
    </w:p>
    <w:p>
      <w:pPr>
        <w:ind w:left="420"/>
      </w:pPr>
      <w:r>
        <w:t xml:space="preserve">2. die zur Leitung oder Beaufsichtigung des Betriebes oder eines Betriebsteiles bestellten Personen im Rahmen ihrer Aufgaben und Befugnisse.</w:t>
      </w:r>
    </w:p>
    <w:p>
      <w:r>
        <w:t xml:space="preserve">(2) Ist der Betrieb eingestellt, so ist verantwortliche Person auch der Inhaber der Aufsuchungs- oder Gewinnungsberechtigung, es sei denn, daß er zur Erfüllung der in Absatz 1 genannten Pflichten rechtlich nicht in der Lage ist. Ist die Berechtigung zur Aufsuchung oder Gewinnung nach Inkrafttreten dieses Gesetzes erloschen, so tritt an die Stelle des Inhabers dieser Berechtigung die Person, die im Zeitpunkt des Erlöschens Inhaber der Berechtigung war.</w:t>
      </w:r>
    </w:p>
    <w:p>
      <w:r>
        <w:rPr>
          <w:color w:val="555555"/>
          <w:sz w:val="17"/>
        </w:rPr>
        <w:t xml:space="preserve">Zitiervorschlag: § 58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