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57d BBergG — Zulassungsverfahren für störfallrelevante Vorhaben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Zulassung eines Betriebsplans zur Errichtung oder Änderung eines Betriebs ist ein Rahmen- oder Sonderbetriebsplan zu verlangen und die Öffentlichkeit entsprechend § 23b Absatz 2 des Bundes-Immissionsschutzgesetzes zu beteiligen, wenn</w:t>
      </w:r>
    </w:p>
    <w:p>
      <w:pPr>
        <w:ind w:left="420"/>
      </w:pPr>
      <w:r>
        <w:t xml:space="preserve">1. es sich dabei um eine störfallrelevante Errichtung und einen Betrieb oder eine störfallrelevante Änderung einer Anlage nach § 3 Absatz 5b des Bundes-Immissionsschutzgesetzes handelt, die Betriebsbereich oder Bestandteil eines Betriebsbereichs nach § 3 Absatz 5a des Bundes-Immissionsschutzgesetzes ist und die keiner Genehmigung nach dem Bundes-Immissionsschutzgesetz bedarf,</w:t>
      </w:r>
    </w:p>
    <w:p>
      <w:pPr>
        <w:ind w:left="420"/>
      </w:pPr>
      <w:r>
        <w:t xml:space="preserve">2. durch die störfallrelevante Errichtung und den Betrieb oder die störfallrelevante Änderung der angemessene Sicherheitsabstand zu benachbarten Schutzobjekten nach § 3 Absatz 5c des Bundes-Immissionsschutzgesetzes erstmalig unterschritten wird, der bereits unterschrittene Sicherheitsabstand räumlich noch weiter unterschritten wird oder eine erhebliche Gefahrenerhöhung ausgelöst wird und</w:t>
      </w:r>
    </w:p>
    <w:p>
      <w:pPr>
        <w:ind w:left="420"/>
      </w:pPr>
      <w:r>
        <w:t xml:space="preserve">3. keine Öffentlichkeitsbeteiligung im Rahmen eines Planfeststellungsverfahrens nach § 52 Absatz 2a Satz 1 vorgesehen ist.</w:t>
      </w:r>
    </w:p>
    <w:p>
      <w:r>
        <w:t xml:space="preserve">§ 18 der Störfall-Verordnung ist mit der Maßgabe entsprechend anzuwenden, dass anstelle des Antrags nach § 23b Absatz 1 des Bundes-Immissionsschutzgesetzes der Antrag auf Betriebsplanzulassung tritt. Anforderungen nach § 22 des Bundes-Immissionsschutzgesetzes sowie der auf Grundlage des § 23 des Bundes-Immissionsschutzgesetzes erlassenen Verordnungen sind, sofern sie über die Anforderungen nach § 55 hinausgehen, öffentliche Interessen im Sinne des § 48 Absatz 2 Satz 1.</w:t>
      </w:r>
    </w:p>
    <w:p>
      <w:r>
        <w:t xml:space="preserve">(2) Bei Vorhaben, die die Voraussetzungen des Absatzes 1 Satz 1 Nummer 1 und 2 erfüllen und bei denen die Öffentlichkeitsbeteiligung nach den in Absatz 1 Satz 1 Nummer 3 genannten Vorschriften erfolgt, ist die Öffentlichkeitsbeteiligung mit der Maßgabe durchzuführen, dass sich der Umfang der vorzulegenden Unterlagen, Berichte und Empfehlungen entsprechend § 23b Absatz 2 Satz 2 des Bundes-Immissionsschutzgesetzes bestimmt. Die Regelungen des § 18 der Störfall-Verordnung sind dabei mit der Maßgabe entsprechend anzuwenden, dass</w:t>
      </w:r>
    </w:p>
    <w:p>
      <w:pPr>
        <w:ind w:left="420"/>
      </w:pPr>
      <w:r>
        <w:t xml:space="preserve">1. an die Stelle des Antrags nach § 23b Absatz 1 des Bundes-Immissionsschutzgesetzes der Antrag auf Betriebsplanzulassung tritt und</w:t>
      </w:r>
    </w:p>
    <w:p>
      <w:pPr>
        <w:ind w:left="420"/>
      </w:pPr>
      <w:r>
        <w:t xml:space="preserve">2. an die Stelle der in § 18 Absatz 2 Nummer 4 der Störfall-Verordnung genannten Frist die im Verfahren nach § 52 Absatz 2a Satz 1 geltende Frist tritt.</w:t>
      </w:r>
    </w:p>
    <w:p>
      <w:r>
        <w:t xml:space="preserve">3. u. 4 (weggefallen)</w:t>
      </w:r>
    </w:p>
    <w:p>
      <w:r>
        <w:t xml:space="preserve">Absatz 1 Satz 3 ist anzuwenden.</w:t>
      </w:r>
    </w:p>
    <w:p>
      <w:r>
        <w:t xml:space="preserve">(3) Absatz 1 Satz 1 und 2 und Absatz 2 Satz 1 und 2 gelten nicht, soweit dem Gebot, den angemessenen Sicherheitsabstand zu wahren, bereits auf Ebene einer raumbedeutsamen Planung oder Maßnahme durch verbindliche Vorgaben Rechnung getragen worden ist.</w:t>
      </w:r>
    </w:p>
    <w:p>
      <w:r>
        <w:rPr>
          <w:color w:val="555555"/>
          <w:sz w:val="17"/>
        </w:rPr>
        <w:t xml:space="preserve">Zitiervorschlag: § 57d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https://recht.nulegal.eu/gesetze/BBergG/57d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