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57c BBergG — Verordnungsermächtigung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Das Bundesministerium für Wirtschaft und Energie wird ermächtigt, im Einvernehmen mit dem Bundesministerium für Umwelt, Naturschutz und nukleare Sicherheit durch Rechtsverordnung mit Zustimmung des Bundesrates Vorschriften darüber zu erlassen,</w:t>
      </w:r>
    </w:p>
    <w:p>
      <w:pPr>
        <w:ind w:left="420"/>
      </w:pPr>
      <w:r>
        <w:t xml:space="preserve">1. welche betriebsplanpflichtigen Vorhaben, die erhebliche Auswirkungen auf die Umwelt haben können, unter Beachtung der Rechtsakte des Rates oder der Kommission der Europäischen Gemeinschaften einer Umweltverträglichkeitsprüfung bedürfen,</w:t>
      </w:r>
    </w:p>
    <w:p>
      <w:pPr>
        <w:ind w:left="420"/>
      </w:pPr>
      <w:r>
        <w:t xml:space="preserve">2. welche Angaben im einzelnen im Rahmen des UVP-Berichts zu machen sind, welchen Anforderungen die Angaben genügen müssen und welche Unterlagen dazu beizubringen sind.</w:t>
      </w:r>
    </w:p>
    <w:p>
      <w:r>
        <w:t xml:space="preserve">In der Rechtsverordnung können für die Bestimmung der Vorhaben nach Satz 1 Nr. 1 auch Gruppen oder Arten von Vorhaben durch Festlegung von Schwellenwerten und anderen Kriterien bestimmt werden. In einer Rechtsverordnung nach Satz 1 Nummer 2 kann insbesondere bestimmt werden, welche Angaben nach Anlage 4 des Gesetzes über die Umweltverträglichkeitsprüfung der UVP-Bericht bei bestimmten Vorhaben enthalten muss.</w:t>
      </w:r>
    </w:p>
    <w:p>
      <w:r>
        <w:rPr>
          <w:color w:val="555555"/>
          <w:sz w:val="17"/>
        </w:rPr>
        <w:t xml:space="preserve">Zitiervorschlag: § 57c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https://recht.nulegal.eu/gesetze/BBergG/57c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