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50 BBergG — Anzeige</w:t>
      </w:r>
    </w:p>
    <w:p>
      <w:r>
        <w:rPr>
          <w:color w:val="555555"/>
          <w:sz w:val="18"/>
        </w:rPr>
        <w:t xml:space="preserve">Bundesberggesetz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Unternehmer hat der zuständigen Behörde die Errichtung und Aufnahme</w:t>
      </w:r>
    </w:p>
    <w:p>
      <w:pPr>
        <w:ind w:left="420"/>
      </w:pPr>
      <w:r>
        <w:t xml:space="preserve">1. eines Aufsuchungsbetriebes,</w:t>
      </w:r>
    </w:p>
    <w:p>
      <w:pPr>
        <w:ind w:left="420"/>
      </w:pPr>
      <w:r>
        <w:t xml:space="preserve">2. eines Gewinnungsbetriebes und</w:t>
      </w:r>
    </w:p>
    <w:p>
      <w:pPr>
        <w:ind w:left="420"/>
      </w:pPr>
      <w:r>
        <w:t xml:space="preserve">3. eines Aufbereitungsbetriebes</w:t>
      </w:r>
    </w:p>
    <w:p>
      <w:r>
        <w:t xml:space="preserve">rechtzeitig, spätestens zwei Wochen vor Beginn der beabsichtigten Tätigkeit anzuzeigen; in der Anzeige ist der Tag des Beginns der Errichtung oder der Aufnahme des Betriebes anzugeben. Zum Betrieb gehören auch die in § 2 Abs. 1 bezeichneten Tätigkeiten und Einrichtungen. Die Pflicht zur Anzeige entfällt, wenn ein Betriebsplan nach § 52 eingereicht wird.</w:t>
      </w:r>
    </w:p>
    <w:p>
      <w:r>
        <w:t xml:space="preserve">(2) Absatz 1 gilt für die Einstellung des Betriebes mit Ausnahme der in § 57 Abs. 1 Satz 1 und Absatz 2 bezeichneten Fälle entsprechend. § 57 Abs. 1 Satz 2 bleibt unberührt.</w:t>
      </w:r>
    </w:p>
    <w:p>
      <w:r>
        <w:t xml:space="preserve">(3) Unternehmer, deren Betrieb nicht nach § 51 der Betriebsplanpflicht unterliegt, haben der Anzeige über die Errichtung oder die Aufnahme eines Gewinnungsbetriebes einen Abbauplan beizufügen, der alle wesentlichen Einzelheiten der beabsichtigten Gewinnung, insbesondere</w:t>
      </w:r>
    </w:p>
    <w:p>
      <w:pPr>
        <w:ind w:left="420"/>
      </w:pPr>
      <w:r>
        <w:t xml:space="preserve">1. die Bezeichnung der Bodenschätze, die gewonnen werden sollen,</w:t>
      </w:r>
    </w:p>
    <w:p>
      <w:pPr>
        <w:ind w:left="420"/>
      </w:pPr>
      <w:r>
        <w:t xml:space="preserve">2. eine Karte in geeignetem Maßstab mit genauer Eintragung des Feldes, in dem die Bodenschätze gewonnen werden sollen,</w:t>
      </w:r>
    </w:p>
    <w:p>
      <w:pPr>
        <w:ind w:left="420"/>
      </w:pPr>
      <w:r>
        <w:t xml:space="preserve">3. Angaben über das beabsichtigte Arbeitsprogramm, die vorgesehenen Einrichtungen unter und über Tage und über den Zeitplan,</w:t>
      </w:r>
    </w:p>
    <w:p>
      <w:pPr>
        <w:ind w:left="420"/>
      </w:pPr>
      <w:r>
        <w:t xml:space="preserve">4. Angaben über Maßnahmen zur Wiedernutzbarmachung der Oberfläche während des Abbaues und über entsprechende Vorsorgemaßnahmen für die Zeit nach Einstellung des Betriebes</w:t>
      </w:r>
    </w:p>
    <w:p>
      <w:r>
        <w:t xml:space="preserve">enthalten muß. Wesentliche Änderungen des Abbauplanes sind der zuständigen Behörde unverzüglich anzuzeigen.</w:t>
      </w:r>
    </w:p>
    <w:p>
      <w:r>
        <w:rPr>
          <w:color w:val="555555"/>
          <w:sz w:val="17"/>
        </w:rPr>
        <w:t xml:space="preserve">Zitiervorschlag: § 50 BBergG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https://recht.nulegal.eu/gesetze/BBergG/50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