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BBergG — Beschränkung der Aufsuchung auf dem Festlandsockel und innerhalb der Küstengewässer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Bereich des Festlandsockels und der Küstengewässer ist die Aufsuchung insoweit unzulässig, als sie</w:t>
      </w:r>
    </w:p>
    <w:p>
      <w:pPr>
        <w:ind w:left="420"/>
      </w:pPr>
      <w:r>
        <w:t xml:space="preserve">1. den Betrieb oder die Wirkung von Schiffahrtsanlagen oder -zeichen,</w:t>
      </w:r>
    </w:p>
    <w:p>
      <w:pPr>
        <w:ind w:left="420"/>
      </w:pPr>
      <w:r>
        <w:t xml:space="preserve">2. das Legen, die Unterhaltung oder den Betrieb von Unterwasserkabeln oder Rohrleitungen sowie ozeanographische oder sonstige wissenschaftliche Forschungen mehr als nach den Umständen unvermeidbar,</w:t>
      </w:r>
    </w:p>
    <w:p>
      <w:pPr>
        <w:ind w:left="420"/>
      </w:pPr>
      <w:r>
        <w:t xml:space="preserve">3. die Benutzung der Schiffahrtswege, die Schiffahrt oder den Fischfang unangemessen</w:t>
      </w:r>
    </w:p>
    <w:p>
      <w:pPr>
        <w:ind w:left="420"/>
      </w:pPr>
      <w:r>
        <w:t xml:space="preserve">4. die Pflanzen- und Tierwelt sowie die Gewässer als Bestandteil des Naturhaushalts unangemessen</w:t>
      </w:r>
    </w:p>
    <w:p>
      <w:r>
        <w:t xml:space="preserve">beeinträchtigt.</w:t>
      </w:r>
    </w:p>
    <w:p>
      <w:r>
        <w:rPr>
          <w:color w:val="555555"/>
          <w:sz w:val="17"/>
        </w:rPr>
        <w:t xml:space="preserve">Zitiervorschlag: § 49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