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BBergG — Allgemeine Verbote und Beschränkungen</w:t>
      </w:r>
    </w:p>
    <w:p>
      <w:r>
        <w:rPr>
          <w:color w:val="555555"/>
          <w:sz w:val="18"/>
        </w:rPr>
        <w:t xml:space="preserve">Bundesberggesetz</w:t>
      </w:r>
    </w:p>
    <w:p>
      <w:r>
        <w:rPr>
          <w:color w:val="555555"/>
          <w:sz w:val="18"/>
        </w:rPr>
        <w:t xml:space="preserve">Stand: 10.06.2019 (konsolidierte Textfassung, kein amtliches Inkrafttretensdatum)</w:t>
      </w:r>
    </w:p>
    <w:p>
      <w:r>
        <w:t xml:space="preserve">(1) Unberührt bleiben Rechtsvorschriften, die auf Grundstücken solche Tätigkeiten verbieten oder beschränken, die ihrer Art nach der Aufsuchung oder Gewinnung dienen können, wenn die Grundstücke durch Gesetz oder auf Grund eines Gesetzes einem öffentlichen Zweck gewidmet oder im Interesse eines öffentlichen Zwecks geschützt sind. Bei Anwendung dieser Vorschriften ist dafür Sorge zu tragen, daß die Aufsuchung und Gewinnung so wenig wie möglich beeinträchtigt werden.</w:t>
      </w:r>
    </w:p>
    <w:p>
      <w:r>
        <w:t xml:space="preserve">(2) In anderen Fällen als denen des Absatzes 1 und des § 15 kann, unbeschadet anderer öffentlich-rechtlicher Vorschriften, die für die Zulassung von Betriebsplänen zuständige Behörde eine Aufsuchung oder eine Gewinnung beschränken oder untersagen, soweit ihr überwiegende öffentliche Interessen entgegenstehen. Bei der Prüfung, ob eine Beschränkung oder Untersagung zu erfolgen hat, sind bei raumbedeutsamen Vorhaben Ziele der Raumordnung zu beachten. Soweit die öffentlichen Interessen zugleich den Schutz von Rechten Dritter umfassen, kann die für die Zulassung von Betriebsplänen zuständige Behörde den Plan auslegen, wenn voraussichtlich mehr als 300 Personen betroffen sind oder der Kreis der Betroffenen nicht abschließend bekannt ist. § 73 Abs. 3, 4 und 5 Satz 1 und 2 Nr. 1, 2 und 4 Buchstabe b des Verwaltungsverfahrensgesetzes ist mit der Maßgabe entsprechend anzuwenden, daß an die Stelle der Gemeinde die zuständige Behörde tritt. Verspätet erhobene Einwendungen sind ausgeschlossen. Hierauf ist in der Bekanntmachung hinzuweisen.</w:t>
      </w:r>
    </w:p>
    <w:p>
      <w:r>
        <w:rPr>
          <w:color w:val="555555"/>
          <w:sz w:val="17"/>
        </w:rPr>
        <w:t xml:space="preserve">Zitiervorschlag: § 48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