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BBergG — Hilfsbaurecht</w:t>
      </w:r>
    </w:p>
    <w:p>
      <w:r>
        <w:rPr>
          <w:color w:val="555555"/>
          <w:sz w:val="18"/>
        </w:rPr>
        <w:t xml:space="preserve">Bundesberggesetz</w:t>
      </w:r>
    </w:p>
    <w:p>
      <w:r>
        <w:rPr>
          <w:color w:val="555555"/>
          <w:sz w:val="18"/>
        </w:rPr>
        <w:t xml:space="preserve">Stand: 10.06.2019 (konsolidierte Textfassung, kein amtliches Inkrafttretensdatum)</w:t>
      </w:r>
    </w:p>
    <w:p>
      <w:r>
        <w:t xml:space="preserve">(1) Der Gewinnungsberechtigte hat das Recht, außerhalb des Feldes seiner Gewinnungsberechtigung unterirdische Anlagen zu errichten, die der technischen oder wirtschaftlichen Verbesserung seines Gewinnungsbetriebes, insbesondere der Wasserlösung oder Wetterführung, zu dienen bestimmt sind (Hilfsbaue). Dies gilt nicht, wenn ein Hilfsbau im Feld einer anderen Gewinnungsberechtigung errichtet werden soll und dadurch die Gewinnung des anderen Gewinnungsberechtigten gefährdet oder wesentlich beeinträchtigt würde.</w:t>
      </w:r>
    </w:p>
    <w:p>
      <w:r>
        <w:t xml:space="preserve">(2) Der Hilfsbauberechtigte hat für den Schaden, der dem anderen Gewinnungsberechtigten durch den Hilfsbau entsteht, Ersatz in Geld zu leisten.</w:t>
      </w:r>
    </w:p>
    <w:p>
      <w:r>
        <w:rPr>
          <w:color w:val="555555"/>
          <w:sz w:val="17"/>
        </w:rPr>
        <w:t xml:space="preserve">Zitiervorschlag: § 44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