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40 BBergG — Streitentscheidung</w:t>
      </w:r>
    </w:p>
    <w:p>
      <w:r>
        <w:rPr>
          <w:color w:val="555555"/>
          <w:sz w:val="18"/>
        </w:rPr>
        <w:t xml:space="preserve">Bundesberggesetz</w:t>
      </w:r>
    </w:p>
    <w:p>
      <w:r>
        <w:rPr>
          <w:color w:val="555555"/>
          <w:sz w:val="18"/>
        </w:rPr>
        <w:t xml:space="preserve">Stand: 10.06.2019 (konsolidierte Textfassung, kein amtliches Inkrafttretensdatum)</w:t>
      </w:r>
    </w:p>
    <w:p>
      <w:r>
        <w:t xml:space="preserve">(1) Wird die nach § 39 Abs. 1 Satz 1 Nr. 1 erforderliche Zustimmung versagt, so kann sie auf Antrag durch eine Entscheidung der zuständigen Behörde ersetzt werden, wenn öffentliche Interessen, insbesondere die Durchforschung nach nutzbaren Lagerstätten, die Aufsuchung erfordern. Wenn unter Gebäuden, auf Betriebsgrundstücken, in Gärten oder eingefriedeten Hofräumen aufgesucht werden soll, kann die Zustimmung nur aus überwiegenden öffentlichen Interessen durch eine Entscheidung der zuständigen Behörde ersetzt werden.</w:t>
      </w:r>
    </w:p>
    <w:p>
      <w:r>
        <w:t xml:space="preserve">(2) Die zuständige Behörde entscheidet auf Antrag auch über die Höhe des Entschädigungsanspruchs (§ 39 Abs. 4) oder der Sicherheit (§ 39 Abs. 5), wenn eine Einigung hierüber nicht zustande kommt; die Kosten des Verfahrens trägt der Aufsuchungsberechtigte. Erst wenn der Ersatz geleistet oder eine Sicherheit hinterlegt ist, darf die Aufsuchung begonnen oder fortgesetzt werden.</w:t>
      </w:r>
    </w:p>
    <w:p>
      <w:r>
        <w:rPr>
          <w:color w:val="555555"/>
          <w:sz w:val="17"/>
        </w:rPr>
        <w:t xml:space="preserve">Zitiervorschlag: § 40 BBergG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https://recht.nulegal.eu/gesetze/BBergG/40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