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BBergG — Einigung mit dem Grundeigentümer, Zustimmung anderer Behörden, Entschädigung</w:t>
      </w:r>
    </w:p>
    <w:p>
      <w:r>
        <w:rPr>
          <w:color w:val="555555"/>
          <w:sz w:val="18"/>
        </w:rPr>
        <w:t xml:space="preserve">Bundesberggesetz</w:t>
      </w:r>
    </w:p>
    <w:p>
      <w:r>
        <w:rPr>
          <w:color w:val="555555"/>
          <w:sz w:val="18"/>
        </w:rPr>
        <w:t xml:space="preserve">Stand: 10.06.2019 (konsolidierte Textfassung, kein amtliches Inkrafttretensdatum)</w:t>
      </w:r>
    </w:p>
    <w:p>
      <w:r>
        <w:t xml:space="preserve">(1) Wer zum Zwecke der Aufsuchung ein fremdes Grundstück benutzen will, hat vor Beginn der Aufsuchung</w:t>
      </w:r>
    </w:p>
    <w:p>
      <w:pPr>
        <w:ind w:left="420"/>
      </w:pPr>
      <w:r>
        <w:t xml:space="preserve">1. die Zustimmung des Grundeigentümers und der sonstigen Nutzungsberechtigten und,</w:t>
      </w:r>
    </w:p>
    <w:p>
      <w:pPr>
        <w:ind w:left="420"/>
      </w:pPr>
      <w:r>
        <w:t xml:space="preserve">2. wenn das Grundstück durch Gesetz oder auf Grund eines Gesetzes einem öffentlichen Zweck gewidmet ist, auch die Zustimmung der für die Wahrung dieses Zweckes zuständigen Behörde</w:t>
      </w:r>
    </w:p>
    <w:p>
      <w:r>
        <w:t xml:space="preserve">einzuholen. § 905 Satz 2 des Bürgerlichen Gesetzbuchs bleibt unberührt.</w:t>
      </w:r>
    </w:p>
    <w:p>
      <w:r>
        <w:t xml:space="preserve">(2) Bei einem unter Absatz 1 Satz 1 Nr. 2 fallenden Grundstück ist</w:t>
      </w:r>
    </w:p>
    <w:p>
      <w:pPr>
        <w:ind w:left="420"/>
      </w:pPr>
      <w:r>
        <w:t xml:space="preserve">1. die Zustimmung nach Absatz 1 Satz 1 Nr. 1 nicht erforderlich, wenn das Grundstück ausschließlich dem öffentlichen Zweck dient, dem es gewidmet ist,</w:t>
      </w:r>
    </w:p>
    <w:p>
      <w:pPr>
        <w:ind w:left="420"/>
      </w:pPr>
      <w:r>
        <w:t xml:space="preserve">2. die Zustimmung nach Absatz 1 Satz 1 Nr. 2 nicht erforderlich, wenn</w:t>
      </w:r>
    </w:p>
    <w:p>
      <w:pPr>
        <w:ind w:left="780"/>
      </w:pPr>
      <w:r>
        <w:t xml:space="preserve">a) sich Art und Form der Tätigkeit, die der Aufsuchung dient oder zu dienen bestimmt ist, nicht von den Tätigkeiten unterscheidet, die im Rahmen der Widmung ausgeübt werden dürfen oder von der Widmung nicht betroffen sind oder</w:t>
      </w:r>
    </w:p>
    <w:p>
      <w:pPr>
        <w:ind w:left="780"/>
      </w:pPr>
      <w:r>
        <w:t xml:space="preserve">b) für die Zulassung der Tätigkeit nach den Vorschriften, auf denen die Widmung beruht, eine besondere behördliche Erlaubnis, Genehmigung oder Zustimmung vorgesehen und diese von der dafür zuständigen Behörde erteilt worden ist.</w:t>
      </w:r>
    </w:p>
    <w:p>
      <w:r>
        <w:t xml:space="preserve">(3) Der Aufsuchungsberechtigte hat nach Abschluß der Aufsuchungsarbeiten den früheren Zustand fremder Grundstücke wiederherzustellen, es sei denn, daß die Aufrechterhaltung der Einwirkungen auf die Grundstücke nach Entscheidung der zuständigen Behörde für spätere Gewinnungsarbeiten zulässig ist oder die zuständige Behörde zur Wiedernutzbarmachung der Oberfläche eine Abweichung von dem früheren Zustand angeordnet hat.</w:t>
      </w:r>
    </w:p>
    <w:p>
      <w:r>
        <w:t xml:space="preserve">(4) Der Aufsuchungsberechtigte hat dem Grundeigentümer und den sonstigen Nutzungsberechtigten für die durch die Aufsuchungsarbeiten entstandenen, nicht durch Wiederherstellung des früheren Zustandes oder andere Maßnahmen nach Absatz 3 ausgeglichenen Vermögensnachteile Ersatz in Geld zu leisten. Der Ersatzanspruch haftet den Inhabern von dinglichen Rechten, mit denen das Grundstück belastet ist, in entsprechender Anwendung der Artikel 52 und 53 des Einführungsgesetzes zum Bürgerlichen Gesetzbuch.</w:t>
      </w:r>
    </w:p>
    <w:p>
      <w:r>
        <w:t xml:space="preserve">(5) Zur Sicherung ihrer Ansprüche aus den Absätzen 3 und 4 können der Grundeigentümer und sonstige Nutzungsberechtigte eine angemessene Sicherheitsleistung verlangen.</w:t>
      </w:r>
    </w:p>
    <w:p>
      <w:r>
        <w:rPr>
          <w:color w:val="555555"/>
          <w:sz w:val="17"/>
        </w:rPr>
        <w:t xml:space="preserve">Zitiervorschlag: § 39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