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BBergG — Inhalt der Zulegung, Aufhebung, Förderabgabe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Recht zum grenzüberschreitenden Abbau gelten die §§ 8, 15, 16 Abs. 5 und § 18 Abs. 1 und 3 entsprechend. § 31 gilt in dem Umfang entsprechend, in dem er für den Inhaber der fremden Berechtigung gelten würde.</w:t>
      </w:r>
    </w:p>
    <w:p>
      <w:r>
        <w:t xml:space="preserve">(2) Das Recht darf erst ausgeübt werden, wenn der Berechtigte</w:t>
      </w:r>
    </w:p>
    <w:p>
      <w:pPr>
        <w:ind w:left="420"/>
      </w:pPr>
      <w:r>
        <w:t xml:space="preserve">1. die Entschädigung geleistet oder</w:t>
      </w:r>
    </w:p>
    <w:p>
      <w:pPr>
        <w:ind w:left="420"/>
      </w:pPr>
      <w:r>
        <w:t xml:space="preserve">2. bei einer Entschädigung in wiederkehrenden Leistungen die erste Rate und für die übrigen Raten angemessene Sicherheit geleistet hat.</w:t>
      </w:r>
    </w:p>
    <w:p>
      <w:r>
        <w:rPr>
          <w:color w:val="555555"/>
          <w:sz w:val="17"/>
        </w:rPr>
        <w:t xml:space="preserve">Zitiervorschlag: § 38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