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BBergG — Entschädigung</w:t>
      </w:r>
    </w:p>
    <w:p>
      <w:r>
        <w:rPr>
          <w:color w:val="555555"/>
          <w:sz w:val="18"/>
        </w:rPr>
        <w:t xml:space="preserve">Bundesberggesetz</w:t>
      </w:r>
    </w:p>
    <w:p>
      <w:r>
        <w:rPr>
          <w:color w:val="555555"/>
          <w:sz w:val="18"/>
        </w:rPr>
        <w:t xml:space="preserve">Stand: 10.06.2019 (konsolidierte Textfassung, kein amtliches Inkrafttretensdatum)</w:t>
      </w:r>
    </w:p>
    <w:p>
      <w:r>
        <w:t xml:space="preserve">(1) Für die Erteilung des Rechts zum grenzüberschreitenden Abbau hat der Berechtigte eine Entschädigung an den Inhaber der fremden Berechtigung zu leisten. Kommt eine Einigung nicht zustande, so ist die Entschädigung in der Entscheidung über die Erteilung des Rechts zum grenzüberschreitenden Abbau festzusetzen.</w:t>
      </w:r>
    </w:p>
    <w:p>
      <w:r>
        <w:t xml:space="preserve">(2) Die Entschädigung wird für den durch den grenzüberschreitenden Abbau eintretenden Rechtsverlust und für andere dadurch eintretende Vermögensnachteile geleistet. Soweit zur Zeit der Entscheidung Nutzungen gezogen werden, ist von dem Maß ihrer Beeinträchtigung auszugehen. Hat der Entschädigungsberechtigte Maßnahmen getroffen, um die Nutzungen zu steigern, und ist nachgewiesen, daß die Maßnahmen die Nutzungen nachhaltig gesteigert hätten, so ist dies zu berücksichtigen. Die Entschädigung ist auf Verlangen des Inhabers der fremden Berechtigung in wiederkehrenden Leistungen zu zahlen. Ist die fremde Berechtigung mit dinglichen Rechten Dritter belastet, so gelten die Artikel 52 und 53 des Einführungsgesetzes zum Bürgerlichen Gesetzbuch entsprechend.</w:t>
      </w:r>
    </w:p>
    <w:p>
      <w:r>
        <w:rPr>
          <w:color w:val="555555"/>
          <w:sz w:val="17"/>
        </w:rPr>
        <w:t xml:space="preserve">Zitiervorschlag: § 37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