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BBergG — Voraussetzungen</w:t>
      </w:r>
    </w:p>
    <w:p>
      <w:r>
        <w:rPr>
          <w:color w:val="555555"/>
          <w:sz w:val="18"/>
        </w:rPr>
        <w:t xml:space="preserve">Bundesberggesetz</w:t>
      </w:r>
    </w:p>
    <w:p>
      <w:r>
        <w:rPr>
          <w:color w:val="555555"/>
          <w:sz w:val="18"/>
        </w:rPr>
        <w:t xml:space="preserve">Stand: 10.06.2019 (konsolidierte Textfassung, kein amtliches Inkrafttretensdatum)</w:t>
      </w:r>
    </w:p>
    <w:p>
      <w:r>
        <w:t xml:space="preserve">Die zuständige Behörde kann auf Antrag dem Inhaber einer Gewinnungsberechtigung durch Zulegung das Recht erteilen, den Abbau eines Bodenschatzes aus dem Feld seiner Gewinnungsberechtigung (Hauptfeld) in das Feld einer benachbarten fremden Gewinnungsberechtigung, die sich auf den gleichen Bodenschatz bezieht, fortzuführen (grenzüberschreitender Abbau), wenn</w:t>
      </w:r>
    </w:p>
    <w:p>
      <w:pPr>
        <w:ind w:left="420"/>
      </w:pPr>
      <w:r>
        <w:t xml:space="preserve">1. der Antragsteller nachweist, daß er sich ernsthaft um eine Einigung über den grenzüberschreitenden Abbau zu angemessenen Bedingungen, erforderlichenfalls unter Angebot geeigneter Abbaumöglichkeiten innerhalb der eigenen Gewinnungsberechtigungen, bemüht hat,</w:t>
      </w:r>
    </w:p>
    <w:p>
      <w:pPr>
        <w:ind w:left="420"/>
      </w:pPr>
      <w:r>
        <w:t xml:space="preserve">2. aus bergwirtschaftlichen oder bergtechnischen Gründen ein grenzüberschreitender Abbau geboten ist,</w:t>
      </w:r>
    </w:p>
    <w:p>
      <w:pPr>
        <w:ind w:left="420"/>
      </w:pPr>
      <w:r>
        <w:t xml:space="preserve">3. Gründe des Allgemeinwohls, insbesondere die Versorgung des Marktes mit Bodenschätzen oder andere gesamtwirtschaftliche Gründe, einen grenzüberschreitenden Abbau erfordern,</w:t>
      </w:r>
    </w:p>
    <w:p>
      <w:pPr>
        <w:ind w:left="420"/>
      </w:pPr>
      <w:r>
        <w:t xml:space="preserve">4. nicht damit gerechnet werden muß, daß die in dem Feld der benachbarten Berechtigung anstehenden Bodenschätze von einem anderen Gewinnungsbetrieb auch ohne Zulegung ebenso wirtschaftlich gewonnen werden,</w:t>
      </w:r>
    </w:p>
    <w:p>
      <w:pPr>
        <w:ind w:left="420"/>
      </w:pPr>
      <w:r>
        <w:t xml:space="preserve">5. Bodenschätze, deren Schutz im öffentlichen Interesse liegt, durch die Zulegung nicht beeinträchtigt werden,</w:t>
      </w:r>
    </w:p>
    <w:p>
      <w:pPr>
        <w:ind w:left="420"/>
      </w:pPr>
      <w:r>
        <w:t xml:space="preserve">6. folgende Angaben und Unterlagen des Antragstellers vorliegen:</w:t>
      </w:r>
    </w:p>
    <w:p>
      <w:pPr>
        <w:ind w:left="780"/>
      </w:pPr>
      <w:r>
        <w:t xml:space="preserve">a) Ein Lageriß mit genauer Eintragung des Hauptfeldes und des Feldes der fremden Berechtigung unter besonderer Kennzeichnung des zuzulegenden Feldesteiles,</w:t>
      </w:r>
    </w:p>
    <w:p>
      <w:pPr>
        <w:ind w:left="780"/>
      </w:pPr>
      <w:r>
        <w:t xml:space="preserve">b) eine Darstellung der zur bergwirtschaftlichen und bergtechnischen Beurteilung der Zulegung bedeutsamen tatsächlichen Verhältnisse,</w:t>
      </w:r>
    </w:p>
    <w:p>
      <w:pPr>
        <w:ind w:left="780"/>
      </w:pPr>
      <w:r>
        <w:t xml:space="preserve">c) Angaben über das im Hauptfeld durchgeführte sowie über das im Feld der fremden Berechtigung beabsichtigte Arbeitsprogramm, insbesondere über die technische Durchführung der Gewinnung, die danach erforderlichen Einrichtungen unter und über Tage und den Zeitplan,</w:t>
      </w:r>
    </w:p>
    <w:p>
      <w:pPr>
        <w:ind w:left="780"/>
      </w:pPr>
      <w:r>
        <w:t xml:space="preserve">d) glaubhafte Angaben darüber, daß die für eine ordnungsgemäße Durchführung des grenzüberschreitenden Abbaus und der damit nach § 2 Abs. 1 Nr. 1 und 2 im Zusammenhang stehenden Tätigkeiten erforderlichen Mittel aufgebracht werden können,</w:t>
      </w:r>
    </w:p>
    <w:p>
      <w:pPr>
        <w:ind w:left="780"/>
      </w:pPr>
      <w:r>
        <w:t xml:space="preserve">e) Angaben über Verwendung und Absatz der durch den grenzüberschreitenden Abbau zu gewinnenden Bodenschätze,</w:t>
      </w:r>
    </w:p>
    <w:p>
      <w:pPr>
        <w:ind w:left="780"/>
      </w:pPr>
      <w:r>
        <w:t xml:space="preserve">f) eine Begründung zu dem Vorliegen der in den Nummern 3 und 4 bezeichneten Voraussetzungen.</w:t>
      </w:r>
    </w:p>
    <w:p>
      <w:r>
        <w:rPr>
          <w:color w:val="555555"/>
          <w:sz w:val="17"/>
        </w:rPr>
        <w:t xml:space="preserve">Zitiervorschlag: § 35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