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BBergG — Wirkung der Vereinigung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Zustellung der Berechtsamsurkunde an den Antragsteller entsteht unter Erlöschen des bisherigen Bergwerkseigentums neues Bergwerkseigentum an dem einheitlichen Bergwerksfeld mit den sich aus der Vereinbarung nach § 25 Nr. 3 ergebenden dinglichen Belastungen.</w:t>
      </w:r>
    </w:p>
    <w:p>
      <w:r>
        <w:t xml:space="preserve">(2) Ist die Vereinigung wirksam geworden, so ersucht die zuständige Behörde das Grundbuchamt um Berichtigung des Grundbuches. Dem Ersuchen ist eine beglaubigte Abschrift der Berechtsamsurkunde beizufügen.</w:t>
      </w:r>
    </w:p>
    <w:p>
      <w:r>
        <w:rPr>
          <w:color w:val="555555"/>
          <w:sz w:val="17"/>
        </w:rPr>
        <w:t xml:space="preserve">Zitiervorschlag: § 27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