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BBergG — Genehmigung der Vereinigung, Berechtsamsurkunde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darf nur versagt werden, wenn</w:t>
      </w:r>
    </w:p>
    <w:p>
      <w:pPr>
        <w:ind w:left="420"/>
      </w:pPr>
      <w:r>
        <w:t xml:space="preserve">1. die Vereinigung unzulässig ist,</w:t>
      </w:r>
    </w:p>
    <w:p>
      <w:pPr>
        <w:ind w:left="420"/>
      </w:pPr>
      <w:r>
        <w:t xml:space="preserve">2. die in § 25 Nr. 1 bis 3 bezeichneten Urkunden und die Verleihungsurkunden oder die nach § 154 Abs. 2 ausgestellten Urkunden nicht oder nicht vollständig vorgelegt werden oder</w:t>
      </w:r>
    </w:p>
    <w:p>
      <w:pPr>
        <w:ind w:left="420"/>
      </w:pPr>
      <w:r>
        <w:t xml:space="preserve">3. der Vereinigung Gründe des öffentlichen Interesses entgegenstehen.</w:t>
      </w:r>
    </w:p>
    <w:p>
      <w:r>
        <w:t xml:space="preserve">(2) Die Genehmigung wird mit der Urkunde nach § 25 Nr. 1, einer Ausfertigung des Lagerisses nach § 25 Nr. 2, den Verleihungs- oder den nach § 154 Abs. 2 ausgestellten Urkunden zu einer einheitlichen Berechtsamsurkunde verbunden.</w:t>
      </w:r>
    </w:p>
    <w:p>
      <w:r>
        <w:rPr>
          <w:color w:val="555555"/>
          <w:sz w:val="17"/>
        </w:rPr>
        <w:t xml:space="preserve">Zitiervorschlag: § 26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