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BBergG — Voraussetzungen der Vereinigung</w:t>
      </w:r>
    </w:p>
    <w:p>
      <w:r>
        <w:rPr>
          <w:color w:val="555555"/>
          <w:sz w:val="18"/>
        </w:rPr>
        <w:t xml:space="preserve">Bundesberggesetz</w:t>
      </w:r>
    </w:p>
    <w:p>
      <w:r>
        <w:rPr>
          <w:color w:val="555555"/>
          <w:sz w:val="18"/>
        </w:rPr>
        <w:t xml:space="preserve">Stand: 10.06.2019 (konsolidierte Textfassung, kein amtliches Inkrafttretensdatum)</w:t>
      </w:r>
    </w:p>
    <w:p>
      <w:r>
        <w:t xml:space="preserve">Zur Vereinigung sind erforderlich</w:t>
      </w:r>
    </w:p>
    <w:p>
      <w:pPr>
        <w:ind w:left="420"/>
      </w:pPr>
      <w:r>
        <w:t xml:space="preserve">1. eine notariell beurkundete Einigung der beteiligten Bergwerkseigentümer oder eine entsprechende Erklärung des Alleineigentümers über die Vereinigung; dabei sind die Namen des neuen Bergwerkseigentums und des neuen Bergwerkseigentümers, bei mehreren Bergwerkseigentümern auch der Anteil oder die sonstigen Rechtsverhältnisse an dem neuen Bergwerkseigentum anzugeben;</w:t>
      </w:r>
    </w:p>
    <w:p>
      <w:pPr>
        <w:ind w:left="420"/>
      </w:pPr>
      <w:r>
        <w:t xml:space="preserve">2. zwei Ausfertigungen eines Lagerisses des neuen Bergwerksfeldes, der den Anforderungen einer Bergverordnung nach § 67 entspricht;</w:t>
      </w:r>
    </w:p>
    <w:p>
      <w:pPr>
        <w:ind w:left="420"/>
      </w:pPr>
      <w:r>
        <w:t xml:space="preserve">3. bei dinglicher Belastung des Bergwerkseigentums eine notariell beurkundete Vereinbarung zwischen den dinglich Berechtigten und den beteiligten Bergwerkseigentümern darüber, daß und in welcher Weise, insbesondere in welcher Rangordnung, die Belastungen auf das neue Bergwerkseigentum (§ 27 Abs. 1) übergehen sollen;</w:t>
      </w:r>
    </w:p>
    <w:p>
      <w:pPr>
        <w:ind w:left="420"/>
      </w:pPr>
      <w:r>
        <w:t xml:space="preserve">4. die Genehmigung nach § 26.</w:t>
      </w:r>
    </w:p>
    <w:p>
      <w:r>
        <w:rPr>
          <w:color w:val="555555"/>
          <w:sz w:val="17"/>
        </w:rPr>
        <w:t xml:space="preserve">Zitiervorschlag: § 25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