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BBergG — Beteiligung an der Aufsuchung</w:t>
      </w:r>
    </w:p>
    <w:p>
      <w:r>
        <w:rPr>
          <w:color w:val="555555"/>
          <w:sz w:val="18"/>
        </w:rPr>
        <w:t xml:space="preserve">Bundesberggesetz</w:t>
      </w:r>
    </w:p>
    <w:p>
      <w:r>
        <w:rPr>
          <w:color w:val="555555"/>
          <w:sz w:val="18"/>
        </w:rPr>
        <w:t xml:space="preserve">Stand: 10.06.2019 (konsolidierte Textfassung, kein amtliches Inkrafttretensdatum)</w:t>
      </w:r>
    </w:p>
    <w:p>
      <w:r>
        <w:t xml:space="preserve">(1) Die zuständige Behörde hat</w:t>
      </w:r>
    </w:p>
    <w:p>
      <w:pPr>
        <w:ind w:left="420"/>
      </w:pPr>
      <w:r>
        <w:t xml:space="preserve">1. den Inhalt einer Erlaubnis zur Aufsuchung zu wissenschaftlichen Zwecken jedem Inhaber einer Erlaubnis zur Aufsuchung zu gewerblichen Zwecken und</w:t>
      </w:r>
    </w:p>
    <w:p>
      <w:pPr>
        <w:ind w:left="420"/>
      </w:pPr>
      <w:r>
        <w:t xml:space="preserve">2. den Inhalt einer Erlaubnis zur großräumigen Aufsuchung jedem Inhaber einer Erlaubnis zur Aufsuchung zu gewerblichen Zwecken oder einer Bewilligung und jedem Bergwerkseigentümer</w:t>
      </w:r>
    </w:p>
    <w:p>
      <w:r>
        <w:t xml:space="preserve">unverzüglich mitzuteilen, wenn sich die Felder dieser Berechtigungen mit dem Feld der Erlaubnis zur Aufsuchung zu wissenschaftlichen Zwecken oder der Erlaubnis zur großräumigen Aufsuchung hinsichtlich desselben Bodenschatzes ganz oder teilweise überdecken.</w:t>
      </w:r>
    </w:p>
    <w:p>
      <w:r>
        <w:t xml:space="preserve">(2) Die zuständige Behörde hat ein Verlangen im Sinne des § 11 Nr. 5 zu stellen, wenn einer der Berechtigten bis zum Ablauf von sechs Wochen nach Zugang der Mitteilung gemäß Absatz 1 für sich einen entsprechenden Antrag stellt und glaubhaft macht, daß er die zur Übernahme des angemessenen Teils der Aufwendungen gemäß § 11 Nr. 5 erforderlichen Mittel aufbringen kann. Nach Ablauf dieser Frist kann die Behörde bei Vorliegen der übrigen Voraussetzungen des Satzes 1 ein Verlangen stellen, wenn die Entscheidung des Berechtigten über seine Beteiligung vorher nicht möglich war und für den verpflichteten Antragsteller im Zeitpunkt des Verlangens die Beteiligung noch zumutbar ist.</w:t>
      </w:r>
    </w:p>
    <w:p>
      <w:r>
        <w:rPr>
          <w:color w:val="555555"/>
          <w:sz w:val="17"/>
        </w:rPr>
        <w:t xml:space="preserve">Zitiervorschlag: § 21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