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BBergG — Aufhebung der Erlaubnis und Bewilligung</w:t>
      </w:r>
    </w:p>
    <w:p>
      <w:r>
        <w:rPr>
          <w:color w:val="555555"/>
          <w:sz w:val="18"/>
        </w:rPr>
        <w:t xml:space="preserve">Bundesberggesetz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Erlaubnis oder Bewilligung ist auf Antrag ihres Inhabers ganz oder teilweise aufzuheben. Der Antrag ist schriftlich oder zur Niederschrift bei der zuständigen Behörde zu stellen.</w:t>
      </w:r>
    </w:p>
    <w:p>
      <w:r>
        <w:t xml:space="preserve">(2) Mit der Bekanntgabe der Aufhebung im amtlichen Veröffentlichungsblatt der zuständigen Behörde erlischt die Erlaubnis oder Bewilligung in dem Umfang, in dem sie aufgehoben wird.</w:t>
      </w:r>
    </w:p>
    <w:p>
      <w:r>
        <w:rPr>
          <w:color w:val="555555"/>
          <w:sz w:val="17"/>
        </w:rPr>
        <w:t xml:space="preserve">Zitiervorschlag: § 19 BBergG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https://recht.nulegal.eu/gesetze/BBergG/19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