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BBergG — Inkrafttreten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1982 in Kraft. Abweichend hiervon treten die §§ 32, 65 bis 68, 122 Abs. 4, §§ 123, 125 Abs. 4, § 129 Abs. 2, § 131 Abs. 2, §§ 141 und 176 Abs. 3 Satz 2 und 3 am Tage nach der Verkündung des Gesetzes in Kraft.</w:t>
      </w:r>
    </w:p>
    <w:p>
      <w:r>
        <w:rPr>
          <w:color w:val="555555"/>
          <w:sz w:val="17"/>
        </w:rPr>
        <w:t xml:space="preserve">Zitiervorschlag: § 178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