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173 BBergG — Zusammenhängende Betriebe</w:t>
      </w:r>
    </w:p>
    <w:p>
      <w:r>
        <w:rPr>
          <w:color w:val="555555"/>
          <w:sz w:val="18"/>
        </w:rPr>
        <w:t xml:space="preserve">Bundesberggesetz</w:t>
      </w:r>
    </w:p>
    <w:p>
      <w:r>
        <w:rPr>
          <w:color w:val="555555"/>
          <w:sz w:val="18"/>
        </w:rPr>
        <w:t xml:space="preserve">Stand: 10.06.2019 (konsolidierte Textfassung, kein amtliches Inkrafttretensdatum)</w:t>
      </w:r>
    </w:p>
    <w:p>
      <w:r>
        <w:t xml:space="preserve">(1) Stehen Tätigkeiten und Einrichtungen im Sinne des § 2 (Betrieb) zur unterirdischen Aufsuchung oder Gewinnung von bergfreien oder grundeigenen Bodenschätzen mit einem Betrieb oder Betriebsteil in unmittelbarem räumlichen und betrieblichen Zusammenhang, in dem andere Bodenschätze übertage aufgesucht oder gewonnen werden, so kann die zuständige Behörde bestimmen, daß an die Tätigkeiten und Einrichtungen in diesem Betrieb oder Betriebsteil die Vorschriften dieses Gesetzes anzuwenden sind, soweit dies mit Rücksicht auf die Untrennbarkeit der Arbeits- und Betriebsvorgänge zwischen unter- und übertage geboten ist. Die Anordnung nach Satz 1 ist aufzuheben, wenn eine der Voraussetzungen für ihren Erlaß entfällt.</w:t>
      </w:r>
    </w:p>
    <w:p>
      <w:r>
        <w:t xml:space="preserve">(2) Soweit Tätigkeiten und Einrichtungen im Sinne des § 2 zur Aufsuchung oder Gewinnung von bergfreien oder grundeigenen Bodenschätzen mit einem Kraftwerk, das zur Aufsuchung oder Gewinnung der Bodenschätze erforderlich ist, oder mit einer Schamottefabrik im unmittelbaren räumlichen und betrieblichen Zusammenhang stehen, kann, wenn das Kraftwerk oder die Schamottefabrik nach den bei Inkrafttreten dieses Gesetzes geltenden Vorschriften zum Bergwesen gehört, die zuständige Landesregierung durch Rechtsverordnung bestimmen, daß auf die Tätigkeiten und Einrichtungen in dem Kraftwerk oder der Schamottefabrik die Vorschriften dieses Gesetzes anzuwenden sind, soweit dies mit Rücksicht auf die Untrennbarkeit der Arbeits- und Betriebsvorgänge notwendig erscheint.</w:t>
      </w:r>
    </w:p>
    <w:p>
      <w:r>
        <w:rPr>
          <w:color w:val="555555"/>
          <w:sz w:val="17"/>
        </w:rPr>
        <w:t xml:space="preserve">Zitiervorschlag: § 173 BBergG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https://recht.nulegal.eu/gesetze/BBergG/173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