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BBergG — Eingeleitete Verfahren</w:t>
      </w:r>
    </w:p>
    <w:p>
      <w:r>
        <w:rPr>
          <w:color w:val="555555"/>
          <w:sz w:val="18"/>
        </w:rPr>
        <w:t xml:space="preserve">Bundesberggesetz</w:t>
      </w:r>
    </w:p>
    <w:p>
      <w:r>
        <w:rPr>
          <w:color w:val="555555"/>
          <w:sz w:val="18"/>
        </w:rPr>
        <w:t xml:space="preserve">Stand: 10.06.2019 (konsolidierte Textfassung, kein amtliches Inkrafttretensdatum)</w:t>
      </w:r>
    </w:p>
    <w:p>
      <w:r>
        <w:t xml:space="preserve">(1) In eingeleiteten Grundabtretungs- oder anderen Enteignungsverfahren ist nach den bisher geltenden Vorschriften zu entscheiden. Hat die zuständige Behörde die Entschädigung noch nicht festgesetzt, so sind die Vorschriften dieses Gesetzes über die Entschädigung in gleichen oder entsprechenden Fällen anzuwenden.</w:t>
      </w:r>
    </w:p>
    <w:p>
      <w:r>
        <w:t xml:space="preserve">(2) In sonstigen eingeleiteten Verfahren ist nach den Vorschriften dieses Gesetzes zu entscheiden.</w:t>
      </w:r>
    </w:p>
    <w:p>
      <w:r>
        <w:t xml:space="preserve">(3) Die Anfechtung von Verwaltungsakten, die vor Inkrafttreten dieses Gesetzes auf Grund der außer Kraft getretenen Vorschriften ergangen und noch nicht unanfechtbar geworden sind, sowie das weitere Verfahren und die Entscheidung richten sich nach den Vorschriften dieses Gesetzes über die entsprechenden Verwaltungsakte. Ein nach den bisher geltenden Vorschriften zulässiger Rechtsbehelf wird als ein nach diesem Gesetz zulässiger Rechtsbehelf behandelt, auch wenn er bei einer nicht mehr zuständigen Stelle eingelegt wird.</w:t>
      </w:r>
    </w:p>
    <w:p>
      <w:r>
        <w:t xml:space="preserve">(4) Die Anfechtung von gerichtlichen Entscheidungen, die vor dem Inkrafttreten dieses Gesetzes ergangen und noch nicht unanfechtbar geworden sind oder die in den beim Inkrafttreten dieses Gesetzes anhängigen gerichtlichen Verfahren ergehen, sowie das weitere Verfahren bis zur rechtskräftigen Entscheidung richten sich nach den bisher geltenden Vorschriften.</w:t>
      </w:r>
    </w:p>
    <w:p>
      <w:r>
        <w:rPr>
          <w:color w:val="555555"/>
          <w:sz w:val="17"/>
        </w:rPr>
        <w:t xml:space="preserve">Zitiervorschlag: § 171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